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1E" w:rsidRPr="00034398" w:rsidRDefault="0021511E" w:rsidP="0021511E">
      <w:pPr>
        <w:rPr>
          <w:b/>
        </w:rPr>
      </w:pPr>
      <w:r w:rsidRPr="00034398">
        <w:rPr>
          <w:b/>
        </w:rPr>
        <w:t>Executive Summary:</w:t>
      </w:r>
    </w:p>
    <w:p w:rsidR="00F67BAA" w:rsidRPr="00034398" w:rsidRDefault="00F67BAA" w:rsidP="0021511E">
      <w:r w:rsidRPr="00034398">
        <w:t xml:space="preserve">The Quality Topic Team has identified the </w:t>
      </w:r>
      <w:proofErr w:type="gramStart"/>
      <w:r w:rsidRPr="00034398">
        <w:t>following  parameters</w:t>
      </w:r>
      <w:proofErr w:type="gramEnd"/>
      <w:r w:rsidRPr="00034398">
        <w:t xml:space="preserve"> to provide</w:t>
      </w:r>
      <w:r w:rsidR="0021511E" w:rsidRPr="00034398">
        <w:t xml:space="preserve"> guidance</w:t>
      </w:r>
      <w:r w:rsidRPr="00034398">
        <w:t xml:space="preserve"> </w:t>
      </w:r>
      <w:r w:rsidR="0021511E" w:rsidRPr="00034398">
        <w:t xml:space="preserve">on criteria for Quality management of a Paper Destruction Process. </w:t>
      </w:r>
      <w:r w:rsidRPr="00034398">
        <w:t xml:space="preserve"> </w:t>
      </w:r>
    </w:p>
    <w:p w:rsidR="007C4037" w:rsidRPr="00034398" w:rsidRDefault="00F67BAA" w:rsidP="007C4037">
      <w:pPr>
        <w:pStyle w:val="ListParagraph"/>
        <w:numPr>
          <w:ilvl w:val="0"/>
          <w:numId w:val="2"/>
        </w:numPr>
        <w:spacing w:after="0" w:line="240" w:lineRule="auto"/>
        <w:contextualSpacing w:val="0"/>
      </w:pPr>
      <w:r w:rsidRPr="00034398">
        <w:t>To d</w:t>
      </w:r>
      <w:r w:rsidR="007C4037" w:rsidRPr="00034398">
        <w:t xml:space="preserve">evelop a validated quality driven process for document scanning and uploading into an </w:t>
      </w:r>
      <w:proofErr w:type="spellStart"/>
      <w:r w:rsidR="007C4037" w:rsidRPr="00034398">
        <w:t>eTMF</w:t>
      </w:r>
      <w:proofErr w:type="spellEnd"/>
      <w:r w:rsidR="007C4037" w:rsidRPr="00034398">
        <w:t>.</w:t>
      </w:r>
    </w:p>
    <w:p w:rsidR="007C4037" w:rsidRPr="00034398" w:rsidRDefault="00F67BAA" w:rsidP="007C4037">
      <w:pPr>
        <w:pStyle w:val="ListParagraph"/>
        <w:numPr>
          <w:ilvl w:val="0"/>
          <w:numId w:val="2"/>
        </w:numPr>
        <w:spacing w:after="0" w:line="240" w:lineRule="auto"/>
        <w:contextualSpacing w:val="0"/>
      </w:pPr>
      <w:r w:rsidRPr="00034398">
        <w:t>T</w:t>
      </w:r>
      <w:r w:rsidR="007C4037" w:rsidRPr="00034398">
        <w:t xml:space="preserve">o </w:t>
      </w:r>
      <w:r w:rsidRPr="00034398">
        <w:t xml:space="preserve">provide recommendations to </w:t>
      </w:r>
      <w:r w:rsidR="007C4037" w:rsidRPr="00034398">
        <w:t xml:space="preserve">establish a consistent process and quality control for the destruction of original paper documents and maintaining the certified </w:t>
      </w:r>
      <w:proofErr w:type="gramStart"/>
      <w:r w:rsidR="007C4037" w:rsidRPr="00034398">
        <w:t>copy,</w:t>
      </w:r>
      <w:proofErr w:type="gramEnd"/>
      <w:r w:rsidR="007C4037" w:rsidRPr="00034398">
        <w:t xml:space="preserve"> based on regulations and industry best practices.</w:t>
      </w:r>
    </w:p>
    <w:p w:rsidR="0021511E" w:rsidRPr="00034398" w:rsidRDefault="0021511E" w:rsidP="0021511E"/>
    <w:tbl>
      <w:tblPr>
        <w:tblStyle w:val="TableGrid"/>
        <w:tblW w:w="10278" w:type="dxa"/>
        <w:tblLayout w:type="fixed"/>
        <w:tblLook w:val="04A0"/>
      </w:tblPr>
      <w:tblGrid>
        <w:gridCol w:w="1098"/>
        <w:gridCol w:w="990"/>
        <w:gridCol w:w="8190"/>
      </w:tblGrid>
      <w:tr w:rsidR="0021511E" w:rsidRPr="00034398" w:rsidTr="005D2681">
        <w:tc>
          <w:tcPr>
            <w:tcW w:w="1098" w:type="dxa"/>
            <w:tcBorders>
              <w:bottom w:val="single" w:sz="4" w:space="0" w:color="auto"/>
            </w:tcBorders>
          </w:tcPr>
          <w:p w:rsidR="0021511E" w:rsidRPr="00034398" w:rsidRDefault="0021511E" w:rsidP="00491202">
            <w:r w:rsidRPr="00034398">
              <w:t>1.</w:t>
            </w:r>
          </w:p>
        </w:tc>
        <w:tc>
          <w:tcPr>
            <w:tcW w:w="990" w:type="dxa"/>
            <w:tcBorders>
              <w:bottom w:val="single" w:sz="4" w:space="0" w:color="auto"/>
            </w:tcBorders>
          </w:tcPr>
          <w:p w:rsidR="0021511E" w:rsidRPr="00034398" w:rsidRDefault="0021511E" w:rsidP="00491202">
            <w:r w:rsidRPr="00034398">
              <w:t>Quality</w:t>
            </w:r>
          </w:p>
        </w:tc>
        <w:tc>
          <w:tcPr>
            <w:tcW w:w="8190" w:type="dxa"/>
          </w:tcPr>
          <w:p w:rsidR="0021511E" w:rsidRPr="00034398" w:rsidRDefault="0021511E" w:rsidP="00491202">
            <w:pPr>
              <w:ind w:left="66"/>
            </w:pPr>
            <w:r w:rsidRPr="00034398">
              <w:t xml:space="preserve">A validated quality driven process for document scanning and uploading into an </w:t>
            </w:r>
            <w:proofErr w:type="spellStart"/>
            <w:r w:rsidRPr="00034398">
              <w:t>eTMF</w:t>
            </w:r>
            <w:proofErr w:type="spellEnd"/>
            <w:r w:rsidRPr="00034398">
              <w:t xml:space="preserve"> system.</w:t>
            </w:r>
          </w:p>
        </w:tc>
      </w:tr>
      <w:tr w:rsidR="0021511E" w:rsidRPr="00034398" w:rsidTr="005D2681">
        <w:tc>
          <w:tcPr>
            <w:tcW w:w="1098" w:type="dxa"/>
            <w:tcBorders>
              <w:bottom w:val="nil"/>
            </w:tcBorders>
          </w:tcPr>
          <w:p w:rsidR="0021511E" w:rsidRPr="00034398" w:rsidRDefault="005D2681" w:rsidP="00491202">
            <w:r w:rsidRPr="00034398">
              <w:t xml:space="preserve">Process map step </w:t>
            </w:r>
            <w:r w:rsidR="00B1110C" w:rsidRPr="00034398">
              <w:t>306-3</w:t>
            </w:r>
            <w:r w:rsidRPr="00034398">
              <w:t>07</w:t>
            </w:r>
          </w:p>
        </w:tc>
        <w:tc>
          <w:tcPr>
            <w:tcW w:w="990" w:type="dxa"/>
            <w:tcBorders>
              <w:bottom w:val="nil"/>
            </w:tcBorders>
          </w:tcPr>
          <w:p w:rsidR="0021511E" w:rsidRPr="00034398" w:rsidRDefault="0021511E" w:rsidP="00491202"/>
        </w:tc>
        <w:tc>
          <w:tcPr>
            <w:tcW w:w="8190" w:type="dxa"/>
          </w:tcPr>
          <w:p w:rsidR="00B1110C" w:rsidRPr="00034398" w:rsidRDefault="00B1110C" w:rsidP="00B1110C">
            <w:pPr>
              <w:rPr>
                <w:b/>
              </w:rPr>
            </w:pPr>
            <w:r w:rsidRPr="00034398">
              <w:rPr>
                <w:b/>
              </w:rPr>
              <w:t>Scanner Settings</w:t>
            </w:r>
          </w:p>
          <w:p w:rsidR="00B1110C" w:rsidRPr="00034398" w:rsidRDefault="00B1110C" w:rsidP="00B1110C">
            <w:r w:rsidRPr="00034398">
              <w:t xml:space="preserve">An appropriate scanner should be selected.  Minimum standards for scanner settings- </w:t>
            </w:r>
          </w:p>
          <w:p w:rsidR="00B1110C" w:rsidRPr="00034398" w:rsidRDefault="00B1110C" w:rsidP="00B1110C">
            <w:pPr>
              <w:numPr>
                <w:ilvl w:val="0"/>
                <w:numId w:val="4"/>
              </w:numPr>
            </w:pPr>
            <w:r w:rsidRPr="00034398">
              <w:t>300 dots per inch (dpi)</w:t>
            </w:r>
          </w:p>
          <w:p w:rsidR="00B1110C" w:rsidRPr="00034398" w:rsidRDefault="00B1110C" w:rsidP="00B1110C">
            <w:pPr>
              <w:numPr>
                <w:ilvl w:val="0"/>
                <w:numId w:val="4"/>
              </w:numPr>
            </w:pPr>
            <w:r w:rsidRPr="00034398">
              <w:t>Simplex, or Duplex where required for documents that have information on back pages</w:t>
            </w:r>
          </w:p>
          <w:p w:rsidR="00B1110C" w:rsidRPr="00034398" w:rsidRDefault="00B1110C" w:rsidP="00B1110C">
            <w:pPr>
              <w:numPr>
                <w:ilvl w:val="0"/>
                <w:numId w:val="4"/>
              </w:numPr>
            </w:pPr>
            <w:r w:rsidRPr="00034398">
              <w:t>Grayscale</w:t>
            </w:r>
          </w:p>
          <w:p w:rsidR="00B1110C" w:rsidRPr="00034398" w:rsidRDefault="00B1110C" w:rsidP="00B1110C">
            <w:pPr>
              <w:numPr>
                <w:ilvl w:val="0"/>
                <w:numId w:val="4"/>
              </w:numPr>
            </w:pPr>
            <w:r w:rsidRPr="00034398">
              <w:t xml:space="preserve">To PDF using </w:t>
            </w:r>
            <w:proofErr w:type="spellStart"/>
            <w:r w:rsidRPr="00034398">
              <w:t>pdf</w:t>
            </w:r>
            <w:proofErr w:type="spellEnd"/>
            <w:r w:rsidRPr="00034398">
              <w:t xml:space="preserve"> version 1.4</w:t>
            </w:r>
          </w:p>
          <w:p w:rsidR="00B1110C" w:rsidRPr="00034398" w:rsidRDefault="00B1110C" w:rsidP="00B1110C">
            <w:pPr>
              <w:pStyle w:val="Default"/>
              <w:rPr>
                <w:rFonts w:asciiTheme="minorHAnsi" w:hAnsiTheme="minorHAnsi"/>
                <w:color w:val="auto"/>
                <w:sz w:val="22"/>
                <w:szCs w:val="22"/>
              </w:rPr>
            </w:pPr>
          </w:p>
          <w:p w:rsidR="00B1110C" w:rsidRPr="00034398" w:rsidRDefault="00B1110C" w:rsidP="00B1110C">
            <w:pPr>
              <w:pStyle w:val="Default"/>
              <w:rPr>
                <w:rFonts w:asciiTheme="minorHAnsi" w:hAnsiTheme="minorHAnsi"/>
                <w:color w:val="auto"/>
                <w:sz w:val="22"/>
                <w:szCs w:val="22"/>
              </w:rPr>
            </w:pPr>
            <w:r w:rsidRPr="00034398">
              <w:rPr>
                <w:rFonts w:asciiTheme="minorHAnsi" w:hAnsiTheme="minorHAnsi"/>
                <w:color w:val="auto"/>
                <w:sz w:val="22"/>
                <w:szCs w:val="22"/>
              </w:rPr>
              <w:t xml:space="preserve">Documents scanned at a resolution of 300 (dpi) ensure that the pages of the document are legible both on a computer screen and when printed and, at the same time, minimize the file size. A resolution of 300 dots per inch (dpi) is recommended to balance legibility and file size. </w:t>
            </w:r>
          </w:p>
          <w:p w:rsidR="00B1110C" w:rsidRPr="00034398" w:rsidRDefault="00B1110C" w:rsidP="00B1110C">
            <w:pPr>
              <w:pStyle w:val="Default"/>
              <w:rPr>
                <w:rFonts w:asciiTheme="minorHAnsi" w:hAnsiTheme="minorHAnsi"/>
                <w:color w:val="auto"/>
                <w:sz w:val="22"/>
                <w:szCs w:val="22"/>
              </w:rPr>
            </w:pPr>
          </w:p>
          <w:p w:rsidR="00B1110C" w:rsidRPr="00034398" w:rsidRDefault="00B1110C" w:rsidP="00B1110C">
            <w:r w:rsidRPr="00034398">
              <w:t>Duplex will ensure any information on the back of a page such as coding or stamp is included in the scanned image.</w:t>
            </w:r>
            <w:r w:rsidR="00F70534">
              <w:t xml:space="preserve">  </w:t>
            </w:r>
          </w:p>
          <w:p w:rsidR="00B1110C" w:rsidRPr="00034398" w:rsidRDefault="00B1110C" w:rsidP="00B1110C">
            <w:pPr>
              <w:pStyle w:val="Default"/>
              <w:rPr>
                <w:rFonts w:asciiTheme="minorHAnsi" w:hAnsiTheme="minorHAnsi"/>
                <w:color w:val="auto"/>
                <w:sz w:val="22"/>
                <w:szCs w:val="22"/>
              </w:rPr>
            </w:pPr>
          </w:p>
          <w:p w:rsidR="00B1110C" w:rsidRPr="00034398" w:rsidRDefault="00B1110C" w:rsidP="00B1110C">
            <w:pPr>
              <w:pStyle w:val="Default"/>
              <w:rPr>
                <w:rFonts w:asciiTheme="minorHAnsi" w:hAnsiTheme="minorHAnsi"/>
                <w:color w:val="auto"/>
                <w:sz w:val="22"/>
                <w:szCs w:val="22"/>
              </w:rPr>
            </w:pPr>
            <w:r w:rsidRPr="00034398">
              <w:rPr>
                <w:rFonts w:asciiTheme="minorHAnsi" w:hAnsiTheme="minorHAnsi"/>
                <w:color w:val="auto"/>
                <w:sz w:val="22"/>
                <w:szCs w:val="22"/>
              </w:rPr>
              <w:t xml:space="preserve">The use of </w:t>
            </w:r>
            <w:proofErr w:type="spellStart"/>
            <w:r w:rsidRPr="00034398">
              <w:rPr>
                <w:rFonts w:asciiTheme="minorHAnsi" w:hAnsiTheme="minorHAnsi"/>
                <w:color w:val="auto"/>
                <w:sz w:val="22"/>
                <w:szCs w:val="22"/>
              </w:rPr>
              <w:t>grayscale</w:t>
            </w:r>
            <w:proofErr w:type="spellEnd"/>
            <w:r w:rsidRPr="00034398">
              <w:rPr>
                <w:rFonts w:asciiTheme="minorHAnsi" w:hAnsiTheme="minorHAnsi"/>
                <w:color w:val="auto"/>
                <w:sz w:val="22"/>
                <w:szCs w:val="22"/>
              </w:rPr>
              <w:t xml:space="preserve"> and colour significantly increases the file size and is used only when these features improve the reviewability of the material. It is recommended that documents with </w:t>
            </w:r>
            <w:proofErr w:type="spellStart"/>
            <w:r w:rsidRPr="00034398">
              <w:rPr>
                <w:rFonts w:asciiTheme="minorHAnsi" w:hAnsiTheme="minorHAnsi"/>
                <w:color w:val="auto"/>
                <w:sz w:val="22"/>
                <w:szCs w:val="22"/>
              </w:rPr>
              <w:t>color</w:t>
            </w:r>
            <w:proofErr w:type="spellEnd"/>
            <w:r w:rsidRPr="00034398">
              <w:rPr>
                <w:rFonts w:asciiTheme="minorHAnsi" w:hAnsiTheme="minorHAnsi"/>
                <w:color w:val="auto"/>
                <w:sz w:val="22"/>
                <w:szCs w:val="22"/>
              </w:rPr>
              <w:t xml:space="preserve"> </w:t>
            </w:r>
            <w:r w:rsidR="002F4269" w:rsidRPr="00034398">
              <w:rPr>
                <w:rFonts w:asciiTheme="minorHAnsi" w:hAnsiTheme="minorHAnsi"/>
                <w:color w:val="auto"/>
                <w:sz w:val="22"/>
                <w:szCs w:val="22"/>
              </w:rPr>
              <w:t xml:space="preserve">also </w:t>
            </w:r>
            <w:r w:rsidRPr="00034398">
              <w:rPr>
                <w:rFonts w:asciiTheme="minorHAnsi" w:hAnsiTheme="minorHAnsi"/>
                <w:color w:val="auto"/>
                <w:sz w:val="22"/>
                <w:szCs w:val="22"/>
              </w:rPr>
              <w:t xml:space="preserve">be scanned in </w:t>
            </w:r>
            <w:proofErr w:type="spellStart"/>
            <w:r w:rsidRPr="00034398">
              <w:rPr>
                <w:rFonts w:asciiTheme="minorHAnsi" w:hAnsiTheme="minorHAnsi"/>
                <w:color w:val="auto"/>
                <w:sz w:val="22"/>
                <w:szCs w:val="22"/>
              </w:rPr>
              <w:t>color</w:t>
            </w:r>
            <w:proofErr w:type="spellEnd"/>
            <w:r w:rsidRPr="00034398">
              <w:rPr>
                <w:rFonts w:asciiTheme="minorHAnsi" w:hAnsiTheme="minorHAnsi"/>
                <w:color w:val="auto"/>
                <w:sz w:val="22"/>
                <w:szCs w:val="22"/>
              </w:rPr>
              <w:t xml:space="preserve"> (</w:t>
            </w:r>
            <w:proofErr w:type="spellStart"/>
            <w:r w:rsidRPr="00034398">
              <w:rPr>
                <w:rFonts w:asciiTheme="minorHAnsi" w:hAnsiTheme="minorHAnsi"/>
                <w:color w:val="auto"/>
                <w:sz w:val="22"/>
                <w:szCs w:val="22"/>
              </w:rPr>
              <w:t>eg</w:t>
            </w:r>
            <w:proofErr w:type="spellEnd"/>
            <w:r w:rsidRPr="00034398">
              <w:rPr>
                <w:rFonts w:asciiTheme="minorHAnsi" w:hAnsiTheme="minorHAnsi"/>
                <w:color w:val="auto"/>
                <w:sz w:val="22"/>
                <w:szCs w:val="22"/>
              </w:rPr>
              <w:t xml:space="preserve">: </w:t>
            </w:r>
            <w:proofErr w:type="spellStart"/>
            <w:r w:rsidRPr="00034398">
              <w:rPr>
                <w:rFonts w:asciiTheme="minorHAnsi" w:hAnsiTheme="minorHAnsi"/>
                <w:color w:val="auto"/>
                <w:sz w:val="22"/>
                <w:szCs w:val="22"/>
              </w:rPr>
              <w:t>color</w:t>
            </w:r>
            <w:proofErr w:type="spellEnd"/>
            <w:r w:rsidRPr="00034398">
              <w:rPr>
                <w:rFonts w:asciiTheme="minorHAnsi" w:hAnsiTheme="minorHAnsi"/>
                <w:color w:val="auto"/>
                <w:sz w:val="22"/>
                <w:szCs w:val="22"/>
              </w:rPr>
              <w:t xml:space="preserve"> seal, </w:t>
            </w:r>
            <w:proofErr w:type="spellStart"/>
            <w:r w:rsidRPr="00034398">
              <w:rPr>
                <w:rFonts w:asciiTheme="minorHAnsi" w:hAnsiTheme="minorHAnsi"/>
                <w:color w:val="auto"/>
                <w:sz w:val="22"/>
                <w:szCs w:val="22"/>
              </w:rPr>
              <w:t>color</w:t>
            </w:r>
            <w:proofErr w:type="spellEnd"/>
            <w:r w:rsidRPr="00034398">
              <w:rPr>
                <w:rFonts w:asciiTheme="minorHAnsi" w:hAnsiTheme="minorHAnsi"/>
                <w:color w:val="auto"/>
                <w:sz w:val="22"/>
                <w:szCs w:val="22"/>
              </w:rPr>
              <w:t>-coded data outputs).  After scanning, avoid re-sampling to a lower resolution. A captured image should not be subjected to non uniform scaling (i.e. sizing).</w:t>
            </w:r>
          </w:p>
          <w:p w:rsidR="00B1110C" w:rsidRPr="00034398" w:rsidRDefault="00B1110C" w:rsidP="00B1110C"/>
          <w:p w:rsidR="00B1110C" w:rsidRPr="00034398" w:rsidRDefault="00B1110C" w:rsidP="00B1110C">
            <w:r w:rsidRPr="00034398">
              <w:t>PDF version 1.4 is for use with Adobe Acrobat 5.0 or higher1. No additional software should be needed to read and navigate the PDF files.</w:t>
            </w:r>
            <w:r w:rsidR="00F70534">
              <w:t xml:space="preserve">  </w:t>
            </w:r>
            <w:r w:rsidRPr="00034398">
              <w:t xml:space="preserve">Documents </w:t>
            </w:r>
            <w:r w:rsidR="00F70534">
              <w:t>may</w:t>
            </w:r>
            <w:r w:rsidRPr="00034398">
              <w:t xml:space="preserve"> be batched for ease of scanning</w:t>
            </w:r>
            <w:r w:rsidR="00F70534">
              <w:t xml:space="preserve">. </w:t>
            </w:r>
            <w:r w:rsidRPr="00034398">
              <w:t xml:space="preserve">  </w:t>
            </w:r>
          </w:p>
          <w:p w:rsidR="00B1110C" w:rsidRPr="00034398" w:rsidRDefault="00B1110C" w:rsidP="00491202">
            <w:pPr>
              <w:ind w:left="66"/>
            </w:pPr>
          </w:p>
          <w:p w:rsidR="00497D6F" w:rsidRPr="00034398" w:rsidRDefault="00497D6F" w:rsidP="00852585">
            <w:pPr>
              <w:rPr>
                <w:b/>
              </w:rPr>
            </w:pPr>
          </w:p>
          <w:p w:rsidR="00852585" w:rsidRPr="00034398" w:rsidRDefault="00852585" w:rsidP="00852585">
            <w:pPr>
              <w:rPr>
                <w:b/>
              </w:rPr>
            </w:pPr>
            <w:r w:rsidRPr="00034398">
              <w:rPr>
                <w:b/>
              </w:rPr>
              <w:t>Preparation</w:t>
            </w:r>
          </w:p>
          <w:p w:rsidR="00852585" w:rsidRPr="00034398" w:rsidRDefault="00852585" w:rsidP="00B46646">
            <w:pPr>
              <w:pStyle w:val="ListParagraph"/>
              <w:numPr>
                <w:ilvl w:val="0"/>
                <w:numId w:val="10"/>
              </w:numPr>
              <w:ind w:left="360"/>
            </w:pPr>
            <w:r w:rsidRPr="00034398">
              <w:t>Removal of wallets/staples/binding/paperclips prior to scanning</w:t>
            </w:r>
          </w:p>
          <w:p w:rsidR="00852585" w:rsidRPr="00034398" w:rsidRDefault="00852585" w:rsidP="00B46646">
            <w:pPr>
              <w:pStyle w:val="ListParagraph"/>
              <w:numPr>
                <w:ilvl w:val="0"/>
                <w:numId w:val="10"/>
              </w:numPr>
              <w:ind w:left="360"/>
            </w:pPr>
            <w:r w:rsidRPr="00034398">
              <w:t>QC of original to determine simplex or duplex scanning setting.</w:t>
            </w:r>
          </w:p>
          <w:p w:rsidR="00666211" w:rsidRPr="00034398" w:rsidRDefault="00666211" w:rsidP="00852585"/>
          <w:p w:rsidR="00852585" w:rsidRPr="00034398" w:rsidRDefault="00852585" w:rsidP="00852585">
            <w:r w:rsidRPr="00034398">
              <w:t>3 levels of scenarios for consideration depending on scanning platform:</w:t>
            </w:r>
          </w:p>
          <w:p w:rsidR="00852585" w:rsidRPr="00034398" w:rsidRDefault="003E680A" w:rsidP="00852585">
            <w:pPr>
              <w:pStyle w:val="ListParagraph"/>
              <w:numPr>
                <w:ilvl w:val="0"/>
                <w:numId w:val="7"/>
              </w:numPr>
              <w:contextualSpacing w:val="0"/>
            </w:pPr>
            <w:r>
              <w:t>Ongoing</w:t>
            </w:r>
            <w:r w:rsidR="007C605B">
              <w:t>/ batch</w:t>
            </w:r>
            <w:r w:rsidR="00852585" w:rsidRPr="00034398">
              <w:t xml:space="preserve"> scanning</w:t>
            </w:r>
          </w:p>
          <w:p w:rsidR="00852585" w:rsidRPr="00034398" w:rsidRDefault="00852585" w:rsidP="00852585">
            <w:pPr>
              <w:pStyle w:val="ListParagraph"/>
              <w:numPr>
                <w:ilvl w:val="0"/>
                <w:numId w:val="7"/>
              </w:numPr>
              <w:contextualSpacing w:val="0"/>
            </w:pPr>
            <w:r w:rsidRPr="00034398">
              <w:t>Barcode scanning</w:t>
            </w:r>
          </w:p>
          <w:p w:rsidR="00852585" w:rsidRPr="00034398" w:rsidRDefault="00852585" w:rsidP="00852585">
            <w:pPr>
              <w:pStyle w:val="ListParagraph"/>
              <w:numPr>
                <w:ilvl w:val="0"/>
                <w:numId w:val="7"/>
              </w:numPr>
              <w:contextualSpacing w:val="0"/>
            </w:pPr>
            <w:r w:rsidRPr="00034398">
              <w:t>Routed and directed to indexed files</w:t>
            </w:r>
          </w:p>
          <w:p w:rsidR="00852585" w:rsidRPr="00034398" w:rsidRDefault="00852585" w:rsidP="00852585"/>
          <w:p w:rsidR="00852585" w:rsidRPr="00034398" w:rsidRDefault="00852585" w:rsidP="00852585">
            <w:r w:rsidRPr="00034398">
              <w:t xml:space="preserve">If scanning in batches, include document separator/cover sheets to distinguish each document within the batch.  Metadata for indexing should be considered in the process. </w:t>
            </w:r>
          </w:p>
          <w:p w:rsidR="00852585" w:rsidRPr="00034398" w:rsidRDefault="00852585" w:rsidP="00852585"/>
          <w:p w:rsidR="00852585" w:rsidRPr="00034398" w:rsidRDefault="00852585" w:rsidP="00852585">
            <w:pPr>
              <w:rPr>
                <w:b/>
              </w:rPr>
            </w:pPr>
            <w:r w:rsidRPr="00034398">
              <w:rPr>
                <w:b/>
              </w:rPr>
              <w:t>Criteria for QC: Image Quality</w:t>
            </w:r>
          </w:p>
          <w:p w:rsidR="00852585" w:rsidRPr="00034398" w:rsidRDefault="00852585" w:rsidP="00852585">
            <w:pPr>
              <w:numPr>
                <w:ilvl w:val="0"/>
                <w:numId w:val="5"/>
              </w:numPr>
            </w:pPr>
            <w:r w:rsidRPr="00034398">
              <w:t>Are all pages present? Are there any double feeds?</w:t>
            </w:r>
          </w:p>
          <w:p w:rsidR="00852585" w:rsidRPr="00034398" w:rsidRDefault="00852585" w:rsidP="00852585">
            <w:pPr>
              <w:numPr>
                <w:ilvl w:val="0"/>
                <w:numId w:val="5"/>
              </w:numPr>
            </w:pPr>
            <w:r w:rsidRPr="00034398">
              <w:t>Are all pages rotated the right way?</w:t>
            </w:r>
          </w:p>
          <w:p w:rsidR="00852585" w:rsidRPr="00034398" w:rsidRDefault="00852585" w:rsidP="00852585">
            <w:pPr>
              <w:numPr>
                <w:ilvl w:val="0"/>
                <w:numId w:val="5"/>
              </w:numPr>
            </w:pPr>
            <w:r w:rsidRPr="00034398">
              <w:t>Is the image too light/too dark?</w:t>
            </w:r>
          </w:p>
          <w:p w:rsidR="00852585" w:rsidRPr="00034398" w:rsidRDefault="00852585" w:rsidP="00852585">
            <w:pPr>
              <w:numPr>
                <w:ilvl w:val="0"/>
                <w:numId w:val="5"/>
              </w:numPr>
            </w:pPr>
            <w:r w:rsidRPr="00034398">
              <w:t>Are pages skewed?</w:t>
            </w:r>
          </w:p>
          <w:p w:rsidR="00852585" w:rsidRPr="00034398" w:rsidRDefault="00852585" w:rsidP="00852585">
            <w:pPr>
              <w:numPr>
                <w:ilvl w:val="0"/>
                <w:numId w:val="5"/>
              </w:numPr>
            </w:pPr>
            <w:r w:rsidRPr="00034398">
              <w:t>Any post it notes inadvertently scanned?</w:t>
            </w:r>
          </w:p>
          <w:p w:rsidR="00852585" w:rsidRPr="00034398" w:rsidRDefault="00852585" w:rsidP="00852585">
            <w:pPr>
              <w:numPr>
                <w:ilvl w:val="0"/>
                <w:numId w:val="5"/>
              </w:numPr>
            </w:pPr>
            <w:r w:rsidRPr="00034398">
              <w:t xml:space="preserve">Is all content legible?  </w:t>
            </w:r>
          </w:p>
          <w:p w:rsidR="00852585" w:rsidRPr="00034398" w:rsidRDefault="00852585" w:rsidP="00852585">
            <w:pPr>
              <w:numPr>
                <w:ilvl w:val="0"/>
                <w:numId w:val="5"/>
              </w:numPr>
            </w:pPr>
            <w:r w:rsidRPr="00034398">
              <w:t>Are all signatures legible?</w:t>
            </w:r>
          </w:p>
          <w:p w:rsidR="00852585" w:rsidRPr="00034398" w:rsidRDefault="00852585" w:rsidP="00852585">
            <w:pPr>
              <w:numPr>
                <w:ilvl w:val="0"/>
                <w:numId w:val="5"/>
              </w:numPr>
            </w:pPr>
            <w:r w:rsidRPr="00034398">
              <w:t xml:space="preserve">Are pages in the correct sequence? </w:t>
            </w:r>
          </w:p>
          <w:p w:rsidR="00852585" w:rsidRPr="00034398" w:rsidRDefault="00852585" w:rsidP="00852585">
            <w:pPr>
              <w:numPr>
                <w:ilvl w:val="0"/>
                <w:numId w:val="5"/>
              </w:numPr>
            </w:pPr>
            <w:r w:rsidRPr="00034398">
              <w:t xml:space="preserve">Is everything in paper present in the electronic image?  I.e. information such as headers/footers </w:t>
            </w:r>
            <w:proofErr w:type="gramStart"/>
            <w:r w:rsidRPr="00034398">
              <w:t>are</w:t>
            </w:r>
            <w:proofErr w:type="gramEnd"/>
            <w:r w:rsidRPr="00034398">
              <w:t xml:space="preserve"> not cut off?</w:t>
            </w:r>
          </w:p>
          <w:p w:rsidR="00852585" w:rsidRPr="00034398" w:rsidRDefault="00852585" w:rsidP="00852585">
            <w:pPr>
              <w:numPr>
                <w:ilvl w:val="0"/>
                <w:numId w:val="5"/>
              </w:numPr>
            </w:pPr>
            <w:r w:rsidRPr="00034398">
              <w:t>Are there any bent corners blocking document content?</w:t>
            </w:r>
          </w:p>
          <w:p w:rsidR="00852585" w:rsidRPr="00034398" w:rsidRDefault="00852585" w:rsidP="00852585">
            <w:pPr>
              <w:numPr>
                <w:ilvl w:val="0"/>
                <w:numId w:val="5"/>
              </w:numPr>
            </w:pPr>
            <w:r w:rsidRPr="00034398">
              <w:t>If scanner settings are duplex,</w:t>
            </w:r>
            <w:r w:rsidR="00B46646">
              <w:t xml:space="preserve"> </w:t>
            </w:r>
            <w:r w:rsidRPr="00034398">
              <w:t>are true blank pages removed?</w:t>
            </w:r>
          </w:p>
          <w:p w:rsidR="00852585" w:rsidRPr="00034398" w:rsidRDefault="00852585" w:rsidP="00852585">
            <w:pPr>
              <w:numPr>
                <w:ilvl w:val="0"/>
                <w:numId w:val="5"/>
              </w:numPr>
            </w:pPr>
            <w:r w:rsidRPr="00034398">
              <w:t>Is the document the right size? (e.g., US Letter A4)</w:t>
            </w:r>
          </w:p>
          <w:p w:rsidR="00852585" w:rsidRPr="00034398" w:rsidRDefault="00852585" w:rsidP="00852585">
            <w:pPr>
              <w:numPr>
                <w:ilvl w:val="0"/>
                <w:numId w:val="5"/>
              </w:numPr>
            </w:pPr>
            <w:r w:rsidRPr="00034398">
              <w:t>Removal of hole punches on images is not recommended</w:t>
            </w:r>
          </w:p>
          <w:p w:rsidR="00852585" w:rsidRPr="00034398" w:rsidRDefault="00852585" w:rsidP="00852585">
            <w:pPr>
              <w:numPr>
                <w:ilvl w:val="0"/>
                <w:numId w:val="5"/>
              </w:numPr>
            </w:pPr>
            <w:r w:rsidRPr="00034398">
              <w:t>Removal of any content from the original document is not recommended (e.g. fax header information)</w:t>
            </w:r>
          </w:p>
          <w:p w:rsidR="00852585" w:rsidRPr="00034398" w:rsidRDefault="00852585" w:rsidP="00852585">
            <w:pPr>
              <w:numPr>
                <w:ilvl w:val="0"/>
                <w:numId w:val="5"/>
              </w:numPr>
            </w:pPr>
            <w:r w:rsidRPr="00034398">
              <w:t>De-speckling is not recommended</w:t>
            </w:r>
          </w:p>
          <w:p w:rsidR="00852585" w:rsidRPr="00034398" w:rsidRDefault="00852585" w:rsidP="00852585"/>
          <w:p w:rsidR="00852585" w:rsidRPr="00034398" w:rsidRDefault="00852585" w:rsidP="00852585">
            <w:pPr>
              <w:rPr>
                <w:rFonts w:eastAsia="Times New Roman"/>
                <w:lang w:eastAsia="en-GB"/>
              </w:rPr>
            </w:pPr>
            <w:r w:rsidRPr="00034398">
              <w:rPr>
                <w:rFonts w:eastAsia="Times New Roman"/>
                <w:lang w:eastAsia="en-GB"/>
              </w:rPr>
              <w:t>The quality of the image should replicate the quality of the original.  It is not recommended that images be enhanced.  If an image is too light/ dark, retention of the paper original to be considered.</w:t>
            </w:r>
          </w:p>
          <w:p w:rsidR="00852585" w:rsidRPr="00034398" w:rsidRDefault="00852585" w:rsidP="00852585">
            <w:pPr>
              <w:rPr>
                <w:rFonts w:eastAsia="Times New Roman"/>
                <w:lang w:eastAsia="en-GB"/>
              </w:rPr>
            </w:pPr>
          </w:p>
          <w:p w:rsidR="00852585" w:rsidRPr="00B46646" w:rsidRDefault="00852585" w:rsidP="00852585">
            <w:r w:rsidRPr="00034398">
              <w:rPr>
                <w:rFonts w:eastAsia="Times New Roman"/>
                <w:lang w:eastAsia="en-GB"/>
              </w:rPr>
              <w:t>There should be a signature of confirmation of QC, or if the QC step is completed electronically, an audit trail to show who is attesting to the accuracy and completeness.  Ensure the audit trail feature is turned on.</w:t>
            </w:r>
          </w:p>
          <w:p w:rsidR="002F4269" w:rsidRPr="00034398" w:rsidRDefault="002F4269" w:rsidP="005D2681">
            <w:pPr>
              <w:rPr>
                <w:rFonts w:eastAsia="Times New Roman"/>
                <w:lang w:eastAsia="en-GB"/>
              </w:rPr>
            </w:pPr>
          </w:p>
        </w:tc>
      </w:tr>
      <w:tr w:rsidR="0021511E" w:rsidRPr="00034398" w:rsidTr="005D2681">
        <w:tc>
          <w:tcPr>
            <w:tcW w:w="1098" w:type="dxa"/>
            <w:tcBorders>
              <w:top w:val="nil"/>
              <w:bottom w:val="nil"/>
            </w:tcBorders>
          </w:tcPr>
          <w:p w:rsidR="0021511E" w:rsidRPr="00034398" w:rsidRDefault="0021511E" w:rsidP="00491202"/>
        </w:tc>
        <w:tc>
          <w:tcPr>
            <w:tcW w:w="990" w:type="dxa"/>
            <w:tcBorders>
              <w:top w:val="nil"/>
              <w:bottom w:val="nil"/>
            </w:tcBorders>
          </w:tcPr>
          <w:p w:rsidR="0021511E" w:rsidRPr="00034398" w:rsidRDefault="0021511E" w:rsidP="00491202"/>
        </w:tc>
        <w:tc>
          <w:tcPr>
            <w:tcW w:w="8190" w:type="dxa"/>
          </w:tcPr>
          <w:p w:rsidR="0021511E" w:rsidRPr="00034398" w:rsidRDefault="0021511E" w:rsidP="00491202">
            <w:pPr>
              <w:jc w:val="both"/>
              <w:rPr>
                <w:u w:val="single"/>
              </w:rPr>
            </w:pPr>
            <w:r w:rsidRPr="00034398">
              <w:rPr>
                <w:u w:val="single"/>
              </w:rPr>
              <w:t>BIBLIOGRAPHY/REFERENCES:</w:t>
            </w:r>
          </w:p>
        </w:tc>
      </w:tr>
      <w:tr w:rsidR="0021511E" w:rsidRPr="00034398" w:rsidTr="005D2681">
        <w:tc>
          <w:tcPr>
            <w:tcW w:w="1098" w:type="dxa"/>
            <w:tcBorders>
              <w:top w:val="nil"/>
              <w:bottom w:val="nil"/>
            </w:tcBorders>
          </w:tcPr>
          <w:p w:rsidR="0021511E" w:rsidRPr="00034398" w:rsidRDefault="0021511E" w:rsidP="00491202"/>
        </w:tc>
        <w:tc>
          <w:tcPr>
            <w:tcW w:w="990" w:type="dxa"/>
            <w:tcBorders>
              <w:top w:val="nil"/>
              <w:bottom w:val="nil"/>
            </w:tcBorders>
          </w:tcPr>
          <w:p w:rsidR="0021511E" w:rsidRPr="00034398" w:rsidRDefault="0021511E" w:rsidP="00491202">
            <w:pPr>
              <w:jc w:val="right"/>
            </w:pPr>
            <w:r w:rsidRPr="00034398">
              <w:t>1.</w:t>
            </w:r>
          </w:p>
        </w:tc>
        <w:tc>
          <w:tcPr>
            <w:tcW w:w="8190" w:type="dxa"/>
          </w:tcPr>
          <w:p w:rsidR="0021511E" w:rsidRPr="00034398" w:rsidRDefault="0021511E" w:rsidP="00491202">
            <w:pPr>
              <w:ind w:firstLine="66"/>
            </w:pPr>
            <w:hyperlink r:id="rId7" w:history="1">
              <w:r w:rsidRPr="00034398">
                <w:rPr>
                  <w:rStyle w:val="Hyperlink"/>
                  <w:color w:val="auto"/>
                </w:rPr>
                <w:t>http://shop.bsigroup.com/en/ProductDetail/?pid=000000000030186227-</w:t>
              </w:r>
            </w:hyperlink>
            <w:r w:rsidRPr="00034398">
              <w:t xml:space="preserve"> </w:t>
            </w:r>
            <w:r w:rsidRPr="00034398">
              <w:rPr>
                <w:rFonts w:eastAsia="MS Mincho" w:cs="Arial"/>
              </w:rPr>
              <w:t>British Standards Institution (</w:t>
            </w:r>
            <w:smartTag w:uri="urn:schemas-microsoft-com:office:smarttags" w:element="stockticker">
              <w:r w:rsidRPr="00034398">
                <w:rPr>
                  <w:rFonts w:eastAsia="MS Mincho" w:cs="Arial"/>
                </w:rPr>
                <w:t>BSI</w:t>
              </w:r>
            </w:smartTag>
            <w:r w:rsidRPr="00034398">
              <w:rPr>
                <w:rFonts w:eastAsia="MS Mincho" w:cs="Arial"/>
              </w:rPr>
              <w:t>) BIP 0008: Code of Practice on Legal Admissibility and Evidential Weight of Information Stored Electronically- for scanning and audit trail requirements in the UK</w:t>
            </w:r>
          </w:p>
          <w:p w:rsidR="0021511E" w:rsidRPr="00034398" w:rsidRDefault="0021511E" w:rsidP="00491202">
            <w:pPr>
              <w:jc w:val="both"/>
            </w:pPr>
          </w:p>
        </w:tc>
      </w:tr>
      <w:tr w:rsidR="0021511E" w:rsidRPr="00034398" w:rsidTr="005D2681">
        <w:tc>
          <w:tcPr>
            <w:tcW w:w="1098" w:type="dxa"/>
            <w:tcBorders>
              <w:top w:val="nil"/>
              <w:bottom w:val="nil"/>
            </w:tcBorders>
          </w:tcPr>
          <w:p w:rsidR="0021511E" w:rsidRPr="00034398" w:rsidRDefault="0021511E" w:rsidP="00491202"/>
        </w:tc>
        <w:tc>
          <w:tcPr>
            <w:tcW w:w="990" w:type="dxa"/>
            <w:tcBorders>
              <w:top w:val="nil"/>
              <w:bottom w:val="nil"/>
            </w:tcBorders>
          </w:tcPr>
          <w:p w:rsidR="0021511E" w:rsidRPr="00034398" w:rsidRDefault="0021511E" w:rsidP="00491202">
            <w:pPr>
              <w:jc w:val="right"/>
            </w:pPr>
            <w:r w:rsidRPr="00034398">
              <w:t>2.</w:t>
            </w:r>
          </w:p>
        </w:tc>
        <w:tc>
          <w:tcPr>
            <w:tcW w:w="8190" w:type="dxa"/>
          </w:tcPr>
          <w:p w:rsidR="0021511E" w:rsidRPr="00034398" w:rsidRDefault="0021511E" w:rsidP="00491202">
            <w:hyperlink r:id="rId8" w:history="1">
              <w:r w:rsidRPr="00034398">
                <w:rPr>
                  <w:rStyle w:val="Hyperlink"/>
                  <w:color w:val="auto"/>
                </w:rPr>
                <w:t>http://www.fda.gov/downloads/Drugs/DevelopmentApprovalProcess/FormsSubmissionRequirements/ElectronicSubmissions/UCM163179.pdf</w:t>
              </w:r>
            </w:hyperlink>
            <w:r w:rsidRPr="00034398">
              <w:t>-</w:t>
            </w:r>
          </w:p>
          <w:p w:rsidR="0021511E" w:rsidRPr="00034398" w:rsidRDefault="0021511E" w:rsidP="00491202">
            <w:pPr>
              <w:jc w:val="both"/>
            </w:pPr>
            <w:r w:rsidRPr="00034398">
              <w:t>FDA requirements for electronic submissions on the format of PDF documents</w:t>
            </w:r>
          </w:p>
        </w:tc>
      </w:tr>
      <w:tr w:rsidR="0021511E" w:rsidRPr="00034398" w:rsidTr="005D2681">
        <w:tc>
          <w:tcPr>
            <w:tcW w:w="1098" w:type="dxa"/>
            <w:tcBorders>
              <w:top w:val="nil"/>
              <w:bottom w:val="nil"/>
            </w:tcBorders>
          </w:tcPr>
          <w:p w:rsidR="0021511E" w:rsidRPr="00034398" w:rsidRDefault="0021511E" w:rsidP="00491202"/>
        </w:tc>
        <w:tc>
          <w:tcPr>
            <w:tcW w:w="990" w:type="dxa"/>
            <w:tcBorders>
              <w:top w:val="nil"/>
              <w:bottom w:val="nil"/>
            </w:tcBorders>
          </w:tcPr>
          <w:p w:rsidR="0021511E" w:rsidRPr="00034398" w:rsidRDefault="0021511E" w:rsidP="00491202">
            <w:pPr>
              <w:jc w:val="right"/>
            </w:pPr>
            <w:r w:rsidRPr="00034398">
              <w:t>3.</w:t>
            </w:r>
          </w:p>
        </w:tc>
        <w:tc>
          <w:tcPr>
            <w:tcW w:w="8190" w:type="dxa"/>
          </w:tcPr>
          <w:p w:rsidR="0021511E" w:rsidRPr="00034398" w:rsidRDefault="00B46646" w:rsidP="00491202">
            <w:pPr>
              <w:jc w:val="both"/>
            </w:pPr>
            <w:r>
              <w:t xml:space="preserve">Industry opinion: </w:t>
            </w:r>
            <w:r w:rsidR="0021511E" w:rsidRPr="00034398">
              <w:t>various documents compiled by quality topic team members outlining process and quality control checks</w:t>
            </w:r>
            <w:r w:rsidR="00A429E4" w:rsidRPr="00034398">
              <w:t>, including</w:t>
            </w:r>
            <w:r w:rsidR="0021511E" w:rsidRPr="00034398">
              <w:t xml:space="preserve"> scanning settings, </w:t>
            </w:r>
            <w:proofErr w:type="spellStart"/>
            <w:r w:rsidR="0021511E" w:rsidRPr="00034398">
              <w:t>pdf</w:t>
            </w:r>
            <w:proofErr w:type="spellEnd"/>
            <w:r w:rsidR="0021511E" w:rsidRPr="00034398">
              <w:t xml:space="preserve"> version required for scanning (PDF/A is an ISO Standard for using PDF format for the long-term archiving of electronic documents), batch scanning, indexing, QC of scanned documents and importing to an </w:t>
            </w:r>
            <w:proofErr w:type="spellStart"/>
            <w:r w:rsidR="0021511E" w:rsidRPr="00034398">
              <w:t>eTMF</w:t>
            </w:r>
            <w:proofErr w:type="spellEnd"/>
            <w:r w:rsidR="0021511E" w:rsidRPr="00034398">
              <w:t xml:space="preserve"> system.</w:t>
            </w:r>
          </w:p>
        </w:tc>
      </w:tr>
      <w:tr w:rsidR="0021511E" w:rsidRPr="00034398" w:rsidTr="005D2681">
        <w:tc>
          <w:tcPr>
            <w:tcW w:w="1098" w:type="dxa"/>
            <w:tcBorders>
              <w:top w:val="nil"/>
            </w:tcBorders>
          </w:tcPr>
          <w:p w:rsidR="0021511E" w:rsidRPr="00034398" w:rsidRDefault="0021511E" w:rsidP="00491202"/>
        </w:tc>
        <w:tc>
          <w:tcPr>
            <w:tcW w:w="990" w:type="dxa"/>
            <w:tcBorders>
              <w:top w:val="nil"/>
            </w:tcBorders>
          </w:tcPr>
          <w:p w:rsidR="0021511E" w:rsidRPr="00034398" w:rsidRDefault="0021511E" w:rsidP="00491202">
            <w:pPr>
              <w:jc w:val="right"/>
            </w:pPr>
            <w:r w:rsidRPr="00034398">
              <w:t>4.</w:t>
            </w:r>
          </w:p>
        </w:tc>
        <w:tc>
          <w:tcPr>
            <w:tcW w:w="8190" w:type="dxa"/>
          </w:tcPr>
          <w:p w:rsidR="0021511E" w:rsidRPr="00034398" w:rsidRDefault="0021511E" w:rsidP="00491202">
            <w:pPr>
              <w:jc w:val="both"/>
            </w:pPr>
            <w:hyperlink r:id="rId9" w:history="1">
              <w:r w:rsidRPr="00034398">
                <w:rPr>
                  <w:rStyle w:val="Hyperlink"/>
                  <w:rFonts w:eastAsia="Times New Roman"/>
                  <w:color w:val="auto"/>
                  <w:lang w:eastAsia="en-GB"/>
                </w:rPr>
                <w:t>www.fda.gov/OHRMS/DOCKETS/98fr/04d-0440-gdl0002.pdf-</w:t>
              </w:r>
            </w:hyperlink>
            <w:r w:rsidRPr="00034398">
              <w:rPr>
                <w:rFonts w:eastAsia="Times New Roman"/>
                <w:lang w:eastAsia="en-GB"/>
              </w:rPr>
              <w:t xml:space="preserve"> FDA Guidance for Industry: Computerized Systems Used in Clinical Investigations for  definition of certified copy</w:t>
            </w:r>
          </w:p>
        </w:tc>
      </w:tr>
    </w:tbl>
    <w:p w:rsidR="002508A5" w:rsidRPr="00034398" w:rsidRDefault="002508A5" w:rsidP="0021511E"/>
    <w:tbl>
      <w:tblPr>
        <w:tblStyle w:val="TableGrid"/>
        <w:tblW w:w="10278" w:type="dxa"/>
        <w:tblLayout w:type="fixed"/>
        <w:tblLook w:val="04A0"/>
      </w:tblPr>
      <w:tblGrid>
        <w:gridCol w:w="1098"/>
        <w:gridCol w:w="990"/>
        <w:gridCol w:w="8190"/>
      </w:tblGrid>
      <w:tr w:rsidR="0021511E" w:rsidRPr="00034398" w:rsidTr="00D73E72">
        <w:tc>
          <w:tcPr>
            <w:tcW w:w="1098" w:type="dxa"/>
            <w:tcBorders>
              <w:bottom w:val="single" w:sz="4" w:space="0" w:color="auto"/>
            </w:tcBorders>
          </w:tcPr>
          <w:p w:rsidR="0021511E" w:rsidRPr="00034398" w:rsidRDefault="002F4269" w:rsidP="00491202">
            <w:r w:rsidRPr="00034398">
              <w:t>2</w:t>
            </w:r>
            <w:r w:rsidR="0021511E" w:rsidRPr="00034398">
              <w:t>.</w:t>
            </w:r>
          </w:p>
        </w:tc>
        <w:tc>
          <w:tcPr>
            <w:tcW w:w="990" w:type="dxa"/>
            <w:tcBorders>
              <w:bottom w:val="single" w:sz="4" w:space="0" w:color="auto"/>
            </w:tcBorders>
          </w:tcPr>
          <w:p w:rsidR="0021511E" w:rsidRPr="00034398" w:rsidRDefault="0021511E" w:rsidP="00491202">
            <w:r w:rsidRPr="00034398">
              <w:t>Quality</w:t>
            </w:r>
          </w:p>
        </w:tc>
        <w:tc>
          <w:tcPr>
            <w:tcW w:w="8190" w:type="dxa"/>
          </w:tcPr>
          <w:p w:rsidR="0021511E" w:rsidRPr="00034398" w:rsidRDefault="0021511E" w:rsidP="00491202">
            <w:pPr>
              <w:jc w:val="both"/>
            </w:pPr>
            <w:r w:rsidRPr="00034398">
              <w:t>Certification of authenticity of scanned images</w:t>
            </w:r>
            <w:r w:rsidR="005D2681" w:rsidRPr="00034398">
              <w:t xml:space="preserve"> as a certified copy</w:t>
            </w:r>
          </w:p>
        </w:tc>
      </w:tr>
      <w:tr w:rsidR="0021511E" w:rsidRPr="00034398" w:rsidTr="00D73E72">
        <w:tc>
          <w:tcPr>
            <w:tcW w:w="1098" w:type="dxa"/>
            <w:tcBorders>
              <w:bottom w:val="nil"/>
            </w:tcBorders>
          </w:tcPr>
          <w:p w:rsidR="0021511E" w:rsidRPr="00034398" w:rsidRDefault="00D73E72" w:rsidP="00491202">
            <w:r>
              <w:t>Process map steps 308-311</w:t>
            </w:r>
          </w:p>
        </w:tc>
        <w:tc>
          <w:tcPr>
            <w:tcW w:w="990" w:type="dxa"/>
            <w:tcBorders>
              <w:bottom w:val="nil"/>
            </w:tcBorders>
          </w:tcPr>
          <w:p w:rsidR="0021511E" w:rsidRPr="00034398" w:rsidRDefault="0021511E" w:rsidP="00491202"/>
        </w:tc>
        <w:tc>
          <w:tcPr>
            <w:tcW w:w="8190" w:type="dxa"/>
          </w:tcPr>
          <w:p w:rsidR="005D2681" w:rsidRPr="00034398" w:rsidRDefault="005D2681" w:rsidP="005D2681">
            <w:pPr>
              <w:rPr>
                <w:b/>
              </w:rPr>
            </w:pPr>
            <w:r w:rsidRPr="00034398">
              <w:rPr>
                <w:b/>
              </w:rPr>
              <w:t>Criteria for QC: Indexing Quality</w:t>
            </w:r>
          </w:p>
          <w:p w:rsidR="005D2681" w:rsidRPr="00034398" w:rsidRDefault="005D2681" w:rsidP="005D2681">
            <w:r w:rsidRPr="00034398">
              <w:t xml:space="preserve">Indexing document attributes or metadata </w:t>
            </w:r>
            <w:r w:rsidR="00A429E4" w:rsidRPr="00034398">
              <w:t>may</w:t>
            </w:r>
            <w:r w:rsidRPr="00034398">
              <w:t xml:space="preserve"> be completed prior or after scanning, dependent on </w:t>
            </w:r>
            <w:r w:rsidRPr="00034398">
              <w:t xml:space="preserve">company </w:t>
            </w:r>
            <w:r w:rsidRPr="00034398">
              <w:t xml:space="preserve">processes in place, but all attributes should be checked for accuracy before QC signature and upload into an </w:t>
            </w:r>
            <w:proofErr w:type="spellStart"/>
            <w:r w:rsidRPr="00034398">
              <w:t>eTMF</w:t>
            </w:r>
            <w:proofErr w:type="spellEnd"/>
            <w:r w:rsidRPr="00034398">
              <w:t xml:space="preserve"> system</w:t>
            </w:r>
            <w:r w:rsidR="00A429E4" w:rsidRPr="00034398">
              <w:t>.</w:t>
            </w:r>
          </w:p>
          <w:p w:rsidR="005D2681" w:rsidRPr="00034398" w:rsidRDefault="005D2681" w:rsidP="005D2681"/>
          <w:p w:rsidR="005D2681" w:rsidRPr="00034398" w:rsidRDefault="005D2681" w:rsidP="005D2681">
            <w:pPr>
              <w:rPr>
                <w:rFonts w:eastAsia="Times New Roman"/>
                <w:lang w:eastAsia="en-GB"/>
              </w:rPr>
            </w:pPr>
            <w:r w:rsidRPr="00034398">
              <w:rPr>
                <w:rFonts w:eastAsia="Times New Roman"/>
                <w:lang w:eastAsia="en-GB"/>
              </w:rPr>
              <w:t>There should be a signature or if the QC step is completed electronically, an audit trail to show who is attesting to the accuracy and completeness.  Ensure the audit trail feature is turned on.</w:t>
            </w:r>
          </w:p>
          <w:p w:rsidR="005D2681" w:rsidRPr="00034398" w:rsidRDefault="005D2681" w:rsidP="00491202">
            <w:pPr>
              <w:jc w:val="both"/>
            </w:pPr>
          </w:p>
          <w:p w:rsidR="009B304A" w:rsidRPr="00034398" w:rsidRDefault="009B304A" w:rsidP="00491202">
            <w:pPr>
              <w:jc w:val="both"/>
            </w:pPr>
          </w:p>
          <w:p w:rsidR="009B304A" w:rsidRPr="00034398" w:rsidRDefault="009B304A" w:rsidP="009B304A">
            <w:pPr>
              <w:rPr>
                <w:rFonts w:eastAsia="Times New Roman"/>
                <w:b/>
                <w:lang w:eastAsia="en-GB"/>
              </w:rPr>
            </w:pPr>
            <w:r w:rsidRPr="00034398">
              <w:rPr>
                <w:rFonts w:eastAsia="Times New Roman"/>
                <w:b/>
                <w:lang w:eastAsia="en-GB"/>
              </w:rPr>
              <w:t>Levels of QC</w:t>
            </w:r>
          </w:p>
          <w:p w:rsidR="00034398" w:rsidRPr="00034398" w:rsidRDefault="00034398" w:rsidP="00034398">
            <w:pPr>
              <w:numPr>
                <w:ilvl w:val="0"/>
                <w:numId w:val="6"/>
              </w:numPr>
              <w:rPr>
                <w:rFonts w:eastAsia="Times New Roman"/>
                <w:color w:val="000000"/>
                <w:lang w:eastAsia="en-GB"/>
              </w:rPr>
            </w:pPr>
            <w:r w:rsidRPr="00034398">
              <w:rPr>
                <w:rFonts w:eastAsia="Times New Roman"/>
                <w:color w:val="000000"/>
                <w:lang w:eastAsia="en-GB"/>
              </w:rPr>
              <w:t>QC signatures or audit trail to document the chain of custody and process through the life of the original and electronic document.</w:t>
            </w:r>
          </w:p>
          <w:p w:rsidR="009B304A" w:rsidRPr="00034398" w:rsidRDefault="009B304A" w:rsidP="00034398">
            <w:pPr>
              <w:numPr>
                <w:ilvl w:val="1"/>
                <w:numId w:val="6"/>
              </w:numPr>
              <w:rPr>
                <w:rFonts w:eastAsia="Times New Roman"/>
                <w:lang w:eastAsia="en-GB"/>
              </w:rPr>
            </w:pPr>
            <w:r w:rsidRPr="00034398">
              <w:rPr>
                <w:rFonts w:eastAsia="Times New Roman"/>
                <w:lang w:eastAsia="en-GB"/>
              </w:rPr>
              <w:t xml:space="preserve">Tracks how the document came in, who scanned documents </w:t>
            </w:r>
            <w:r w:rsidR="00034398" w:rsidRPr="00034398">
              <w:rPr>
                <w:rFonts w:eastAsia="Times New Roman"/>
                <w:lang w:eastAsia="en-GB"/>
              </w:rPr>
              <w:t>and reviewed the image.</w:t>
            </w:r>
          </w:p>
          <w:p w:rsidR="009B304A" w:rsidRPr="00034398" w:rsidRDefault="009B304A" w:rsidP="009B304A">
            <w:pPr>
              <w:numPr>
                <w:ilvl w:val="1"/>
                <w:numId w:val="6"/>
              </w:numPr>
              <w:rPr>
                <w:rFonts w:eastAsia="Times New Roman"/>
                <w:lang w:eastAsia="en-GB"/>
              </w:rPr>
            </w:pPr>
            <w:r w:rsidRPr="00034398">
              <w:rPr>
                <w:rFonts w:eastAsia="Times New Roman"/>
                <w:lang w:eastAsia="en-GB"/>
              </w:rPr>
              <w:t>Tracks quantity and quality</w:t>
            </w:r>
          </w:p>
          <w:p w:rsidR="009B304A" w:rsidRPr="00034398" w:rsidRDefault="009B304A" w:rsidP="009B304A">
            <w:pPr>
              <w:numPr>
                <w:ilvl w:val="1"/>
                <w:numId w:val="6"/>
              </w:numPr>
              <w:rPr>
                <w:rFonts w:eastAsia="Times New Roman"/>
                <w:lang w:eastAsia="en-GB"/>
              </w:rPr>
            </w:pPr>
            <w:r w:rsidRPr="00034398">
              <w:rPr>
                <w:rFonts w:eastAsia="Times New Roman"/>
                <w:lang w:eastAsia="en-GB"/>
              </w:rPr>
              <w:t xml:space="preserve">Tracks </w:t>
            </w:r>
            <w:proofErr w:type="gramStart"/>
            <w:r w:rsidRPr="00034398">
              <w:rPr>
                <w:rFonts w:eastAsia="Times New Roman"/>
                <w:lang w:eastAsia="en-GB"/>
              </w:rPr>
              <w:t>who</w:t>
            </w:r>
            <w:proofErr w:type="gramEnd"/>
            <w:r w:rsidRPr="00034398">
              <w:rPr>
                <w:rFonts w:eastAsia="Times New Roman"/>
                <w:lang w:eastAsia="en-GB"/>
              </w:rPr>
              <w:t xml:space="preserve"> uploaded and approved the document.</w:t>
            </w:r>
          </w:p>
          <w:p w:rsidR="009B304A" w:rsidRPr="00034398" w:rsidRDefault="009B304A" w:rsidP="0006566A">
            <w:pPr>
              <w:rPr>
                <w:rFonts w:eastAsia="Times New Roman"/>
                <w:lang w:eastAsia="en-GB"/>
              </w:rPr>
            </w:pPr>
          </w:p>
          <w:p w:rsidR="009B304A" w:rsidRDefault="009B304A" w:rsidP="009B304A">
            <w:pPr>
              <w:numPr>
                <w:ilvl w:val="0"/>
                <w:numId w:val="6"/>
              </w:numPr>
              <w:rPr>
                <w:rFonts w:eastAsia="Times New Roman"/>
                <w:lang w:eastAsia="en-GB"/>
              </w:rPr>
            </w:pPr>
            <w:r w:rsidRPr="00034398">
              <w:rPr>
                <w:rFonts w:eastAsia="Times New Roman"/>
                <w:lang w:eastAsia="en-GB"/>
              </w:rPr>
              <w:t xml:space="preserve">If companies wish to use the scanned copies in lieu of the paper source data, (i.e. destroy the paper) the scanned copies must meet the definition of a certified copy. </w:t>
            </w:r>
          </w:p>
          <w:p w:rsidR="00CD069E" w:rsidRPr="00CD069E" w:rsidRDefault="00B46646" w:rsidP="00CD069E">
            <w:pPr>
              <w:pStyle w:val="ListParagraph"/>
              <w:numPr>
                <w:ilvl w:val="1"/>
                <w:numId w:val="6"/>
              </w:numPr>
              <w:autoSpaceDE w:val="0"/>
              <w:autoSpaceDN w:val="0"/>
              <w:adjustRightInd w:val="0"/>
              <w:rPr>
                <w:rFonts w:cs="Tahoma"/>
                <w:color w:val="000000"/>
              </w:rPr>
            </w:pPr>
            <w:proofErr w:type="spellStart"/>
            <w:r w:rsidRPr="00CD069E">
              <w:rPr>
                <w:rFonts w:eastAsia="Times New Roman"/>
                <w:lang w:eastAsia="en-GB"/>
              </w:rPr>
              <w:t>Criticial</w:t>
            </w:r>
            <w:proofErr w:type="spellEnd"/>
            <w:r w:rsidRPr="00CD069E">
              <w:rPr>
                <w:rFonts w:eastAsia="Times New Roman"/>
                <w:lang w:eastAsia="en-GB"/>
              </w:rPr>
              <w:t xml:space="preserve"> documents should be considered</w:t>
            </w:r>
            <w:r w:rsidR="00CD069E">
              <w:rPr>
                <w:rFonts w:eastAsia="Times New Roman"/>
                <w:lang w:eastAsia="en-GB"/>
              </w:rPr>
              <w:t>.</w:t>
            </w:r>
          </w:p>
          <w:p w:rsidR="00CD069E" w:rsidRPr="00CD069E" w:rsidRDefault="00CD069E" w:rsidP="00CD069E">
            <w:pPr>
              <w:pStyle w:val="ListParagraph"/>
              <w:numPr>
                <w:ilvl w:val="1"/>
                <w:numId w:val="6"/>
              </w:numPr>
              <w:autoSpaceDE w:val="0"/>
              <w:autoSpaceDN w:val="0"/>
              <w:adjustRightInd w:val="0"/>
              <w:rPr>
                <w:rFonts w:cs="Tahoma"/>
                <w:color w:val="000000"/>
              </w:rPr>
            </w:pPr>
            <w:r w:rsidRPr="00CD069E">
              <w:rPr>
                <w:rFonts w:cs="Tahoma"/>
                <w:color w:val="000000"/>
              </w:rPr>
              <w:t>List of Protected Documents not to be destroyed should be defined by Sponsor and maintained through the life of the study.</w:t>
            </w:r>
          </w:p>
          <w:p w:rsidR="00B46646" w:rsidRPr="00034398" w:rsidRDefault="009B304A" w:rsidP="00B46646">
            <w:pPr>
              <w:spacing w:before="100" w:beforeAutospacing="1" w:after="100" w:afterAutospacing="1"/>
              <w:ind w:left="360"/>
              <w:rPr>
                <w:rFonts w:eastAsia="Times New Roman"/>
                <w:lang w:eastAsia="en-GB"/>
              </w:rPr>
            </w:pPr>
            <w:r w:rsidRPr="00034398">
              <w:rPr>
                <w:rFonts w:eastAsia="Times New Roman"/>
                <w:lang w:eastAsia="en-GB"/>
              </w:rPr>
              <w:t>"A certified copy means a copy of original information that has been verified, as indicated by dated signature, as an exact copy having all of the same attributes and information as the original."</w:t>
            </w:r>
          </w:p>
          <w:p w:rsidR="009B304A" w:rsidRPr="00034398" w:rsidRDefault="009B304A" w:rsidP="009B304A">
            <w:pPr>
              <w:numPr>
                <w:ilvl w:val="0"/>
                <w:numId w:val="6"/>
              </w:numPr>
              <w:rPr>
                <w:rFonts w:eastAsia="Times New Roman"/>
                <w:lang w:eastAsia="en-GB"/>
              </w:rPr>
            </w:pPr>
            <w:r w:rsidRPr="00034398">
              <w:rPr>
                <w:rFonts w:eastAsia="Times New Roman"/>
                <w:lang w:eastAsia="en-GB"/>
              </w:rPr>
              <w:t xml:space="preserve">It is recommended that where the paper will be destroyed, that all documents are fully </w:t>
            </w:r>
            <w:proofErr w:type="spellStart"/>
            <w:r w:rsidRPr="00034398">
              <w:rPr>
                <w:rFonts w:eastAsia="Times New Roman"/>
                <w:lang w:eastAsia="en-GB"/>
              </w:rPr>
              <w:t>QC’d</w:t>
            </w:r>
            <w:proofErr w:type="spellEnd"/>
            <w:r w:rsidRPr="00034398">
              <w:rPr>
                <w:rFonts w:eastAsia="Times New Roman"/>
                <w:lang w:eastAsia="en-GB"/>
              </w:rPr>
              <w:t xml:space="preserve"> against the electronic images to show they are verified as certified copies.  Company records management policies should be followed.</w:t>
            </w:r>
          </w:p>
          <w:p w:rsidR="009B304A" w:rsidRPr="00034398" w:rsidRDefault="009B304A" w:rsidP="009B304A">
            <w:pPr>
              <w:rPr>
                <w:rFonts w:eastAsia="Times New Roman"/>
                <w:lang w:eastAsia="en-GB"/>
              </w:rPr>
            </w:pPr>
          </w:p>
          <w:p w:rsidR="009B304A" w:rsidRPr="00034398" w:rsidRDefault="009B304A" w:rsidP="009B304A">
            <w:pPr>
              <w:numPr>
                <w:ilvl w:val="0"/>
                <w:numId w:val="6"/>
              </w:numPr>
              <w:rPr>
                <w:rFonts w:eastAsia="Times New Roman"/>
                <w:lang w:eastAsia="en-GB"/>
              </w:rPr>
            </w:pPr>
            <w:r w:rsidRPr="00034398">
              <w:rPr>
                <w:rFonts w:eastAsia="Times New Roman"/>
                <w:lang w:eastAsia="en-GB"/>
              </w:rPr>
              <w:t>If companies will not be destroying paper, an acceptable quality level can be applied to QC</w:t>
            </w:r>
            <w:r w:rsidR="00700C35">
              <w:rPr>
                <w:rFonts w:eastAsia="Times New Roman"/>
                <w:lang w:eastAsia="en-GB"/>
              </w:rPr>
              <w:t xml:space="preserve"> (i.e. algorithm for QC).</w:t>
            </w:r>
          </w:p>
          <w:p w:rsidR="009B304A" w:rsidRPr="00034398" w:rsidRDefault="009B304A" w:rsidP="009B304A">
            <w:pPr>
              <w:rPr>
                <w:rFonts w:eastAsia="Times New Roman"/>
                <w:lang w:eastAsia="en-GB"/>
              </w:rPr>
            </w:pPr>
          </w:p>
          <w:p w:rsidR="009B304A" w:rsidRPr="00034398" w:rsidRDefault="009B304A" w:rsidP="009B304A">
            <w:pPr>
              <w:numPr>
                <w:ilvl w:val="0"/>
                <w:numId w:val="6"/>
              </w:numPr>
              <w:rPr>
                <w:rFonts w:eastAsia="Times New Roman"/>
                <w:lang w:eastAsia="en-GB"/>
              </w:rPr>
            </w:pPr>
            <w:r w:rsidRPr="00034398">
              <w:rPr>
                <w:rFonts w:eastAsia="Times New Roman"/>
                <w:lang w:eastAsia="en-GB"/>
              </w:rPr>
              <w:t xml:space="preserve">It is recommended that the QC step is performed by a different person than the person that performed the scanning and QC of image quality. </w:t>
            </w:r>
          </w:p>
          <w:p w:rsidR="009B304A" w:rsidRPr="00034398" w:rsidRDefault="009B304A" w:rsidP="00491202">
            <w:pPr>
              <w:jc w:val="both"/>
            </w:pPr>
          </w:p>
        </w:tc>
      </w:tr>
      <w:tr w:rsidR="0021511E" w:rsidRPr="00034398" w:rsidTr="00D73E72">
        <w:tc>
          <w:tcPr>
            <w:tcW w:w="1098" w:type="dxa"/>
            <w:tcBorders>
              <w:top w:val="nil"/>
              <w:bottom w:val="nil"/>
            </w:tcBorders>
          </w:tcPr>
          <w:p w:rsidR="0021511E" w:rsidRPr="00034398" w:rsidRDefault="0021511E" w:rsidP="00491202"/>
        </w:tc>
        <w:tc>
          <w:tcPr>
            <w:tcW w:w="990" w:type="dxa"/>
            <w:tcBorders>
              <w:top w:val="nil"/>
              <w:bottom w:val="nil"/>
            </w:tcBorders>
          </w:tcPr>
          <w:p w:rsidR="0021511E" w:rsidRPr="00034398" w:rsidRDefault="0021511E" w:rsidP="00491202"/>
        </w:tc>
        <w:tc>
          <w:tcPr>
            <w:tcW w:w="8190" w:type="dxa"/>
          </w:tcPr>
          <w:p w:rsidR="0021511E" w:rsidRPr="00034398" w:rsidRDefault="0021511E" w:rsidP="00491202">
            <w:pPr>
              <w:jc w:val="both"/>
              <w:rPr>
                <w:u w:val="single"/>
              </w:rPr>
            </w:pPr>
            <w:r w:rsidRPr="00034398">
              <w:rPr>
                <w:u w:val="single"/>
              </w:rPr>
              <w:t>BIBLIOGRAPHY/REFERENCES:</w:t>
            </w:r>
          </w:p>
        </w:tc>
      </w:tr>
      <w:tr w:rsidR="0021511E" w:rsidRPr="00034398" w:rsidTr="00D73E72">
        <w:tc>
          <w:tcPr>
            <w:tcW w:w="1098" w:type="dxa"/>
            <w:tcBorders>
              <w:top w:val="nil"/>
              <w:bottom w:val="nil"/>
            </w:tcBorders>
          </w:tcPr>
          <w:p w:rsidR="0021511E" w:rsidRPr="00034398" w:rsidRDefault="0021511E" w:rsidP="00491202"/>
        </w:tc>
        <w:tc>
          <w:tcPr>
            <w:tcW w:w="990" w:type="dxa"/>
            <w:tcBorders>
              <w:top w:val="nil"/>
              <w:bottom w:val="nil"/>
            </w:tcBorders>
          </w:tcPr>
          <w:p w:rsidR="0021511E" w:rsidRPr="00034398" w:rsidRDefault="0021511E" w:rsidP="00491202">
            <w:pPr>
              <w:jc w:val="right"/>
            </w:pPr>
            <w:r w:rsidRPr="00034398">
              <w:t>1.</w:t>
            </w:r>
          </w:p>
        </w:tc>
        <w:tc>
          <w:tcPr>
            <w:tcW w:w="8190" w:type="dxa"/>
          </w:tcPr>
          <w:p w:rsidR="0021511E" w:rsidRPr="00034398" w:rsidRDefault="0021511E" w:rsidP="00491202">
            <w:pPr>
              <w:jc w:val="both"/>
            </w:pPr>
            <w:r w:rsidRPr="00034398">
              <w:t>Microfiche regulations?</w:t>
            </w:r>
          </w:p>
        </w:tc>
      </w:tr>
      <w:tr w:rsidR="0021511E" w:rsidRPr="00034398" w:rsidTr="00D73E72">
        <w:tc>
          <w:tcPr>
            <w:tcW w:w="1098" w:type="dxa"/>
            <w:tcBorders>
              <w:top w:val="nil"/>
              <w:bottom w:val="nil"/>
            </w:tcBorders>
          </w:tcPr>
          <w:p w:rsidR="0021511E" w:rsidRPr="00034398" w:rsidRDefault="0021511E" w:rsidP="00491202"/>
        </w:tc>
        <w:tc>
          <w:tcPr>
            <w:tcW w:w="990" w:type="dxa"/>
            <w:tcBorders>
              <w:top w:val="nil"/>
              <w:bottom w:val="nil"/>
            </w:tcBorders>
          </w:tcPr>
          <w:p w:rsidR="0021511E" w:rsidRPr="00034398" w:rsidRDefault="0021511E" w:rsidP="00491202">
            <w:pPr>
              <w:jc w:val="right"/>
            </w:pPr>
            <w:r w:rsidRPr="00034398">
              <w:t>2.</w:t>
            </w:r>
          </w:p>
        </w:tc>
        <w:tc>
          <w:tcPr>
            <w:tcW w:w="8190" w:type="dxa"/>
          </w:tcPr>
          <w:p w:rsidR="0021511E" w:rsidRPr="00034398" w:rsidRDefault="0021511E" w:rsidP="00491202">
            <w:pPr>
              <w:jc w:val="both"/>
            </w:pPr>
          </w:p>
        </w:tc>
      </w:tr>
      <w:tr w:rsidR="0021511E" w:rsidRPr="00034398" w:rsidTr="00D73E72">
        <w:tc>
          <w:tcPr>
            <w:tcW w:w="1098" w:type="dxa"/>
            <w:tcBorders>
              <w:top w:val="nil"/>
              <w:bottom w:val="nil"/>
            </w:tcBorders>
          </w:tcPr>
          <w:p w:rsidR="0021511E" w:rsidRPr="00034398" w:rsidRDefault="0021511E" w:rsidP="00491202"/>
        </w:tc>
        <w:tc>
          <w:tcPr>
            <w:tcW w:w="990" w:type="dxa"/>
            <w:tcBorders>
              <w:top w:val="nil"/>
              <w:bottom w:val="nil"/>
            </w:tcBorders>
          </w:tcPr>
          <w:p w:rsidR="0021511E" w:rsidRPr="00034398" w:rsidRDefault="0021511E" w:rsidP="00491202">
            <w:pPr>
              <w:jc w:val="right"/>
            </w:pPr>
            <w:r w:rsidRPr="00034398">
              <w:t>3.</w:t>
            </w:r>
          </w:p>
        </w:tc>
        <w:tc>
          <w:tcPr>
            <w:tcW w:w="8190" w:type="dxa"/>
          </w:tcPr>
          <w:p w:rsidR="0021511E" w:rsidRPr="00034398" w:rsidRDefault="0021511E" w:rsidP="00491202">
            <w:pPr>
              <w:jc w:val="both"/>
            </w:pPr>
          </w:p>
        </w:tc>
      </w:tr>
      <w:tr w:rsidR="0021511E" w:rsidRPr="00034398" w:rsidTr="00D73E72">
        <w:tc>
          <w:tcPr>
            <w:tcW w:w="1098" w:type="dxa"/>
            <w:tcBorders>
              <w:top w:val="nil"/>
            </w:tcBorders>
          </w:tcPr>
          <w:p w:rsidR="0021511E" w:rsidRPr="00034398" w:rsidRDefault="0021511E" w:rsidP="00491202"/>
        </w:tc>
        <w:tc>
          <w:tcPr>
            <w:tcW w:w="990" w:type="dxa"/>
            <w:tcBorders>
              <w:top w:val="nil"/>
            </w:tcBorders>
          </w:tcPr>
          <w:p w:rsidR="0021511E" w:rsidRPr="00034398" w:rsidRDefault="0021511E" w:rsidP="00491202">
            <w:pPr>
              <w:jc w:val="right"/>
            </w:pPr>
            <w:r w:rsidRPr="00034398">
              <w:t>4.</w:t>
            </w:r>
          </w:p>
        </w:tc>
        <w:tc>
          <w:tcPr>
            <w:tcW w:w="8190" w:type="dxa"/>
          </w:tcPr>
          <w:p w:rsidR="0021511E" w:rsidRPr="00034398" w:rsidRDefault="0021511E" w:rsidP="00491202">
            <w:pPr>
              <w:jc w:val="both"/>
            </w:pPr>
          </w:p>
        </w:tc>
      </w:tr>
    </w:tbl>
    <w:p w:rsidR="0021511E" w:rsidRPr="00034398" w:rsidRDefault="0021511E" w:rsidP="0021511E"/>
    <w:tbl>
      <w:tblPr>
        <w:tblStyle w:val="TableGrid"/>
        <w:tblW w:w="10278" w:type="dxa"/>
        <w:tblLook w:val="04A0"/>
      </w:tblPr>
      <w:tblGrid>
        <w:gridCol w:w="1098"/>
        <w:gridCol w:w="990"/>
        <w:gridCol w:w="8190"/>
      </w:tblGrid>
      <w:tr w:rsidR="0021511E" w:rsidRPr="00034398" w:rsidTr="00D73E72">
        <w:tc>
          <w:tcPr>
            <w:tcW w:w="1098" w:type="dxa"/>
          </w:tcPr>
          <w:p w:rsidR="0021511E" w:rsidRPr="00034398" w:rsidRDefault="002F4269" w:rsidP="00491202">
            <w:r w:rsidRPr="00034398">
              <w:t>3</w:t>
            </w:r>
            <w:r w:rsidR="0021511E" w:rsidRPr="00034398">
              <w:t>.</w:t>
            </w:r>
          </w:p>
        </w:tc>
        <w:tc>
          <w:tcPr>
            <w:tcW w:w="990" w:type="dxa"/>
          </w:tcPr>
          <w:p w:rsidR="0021511E" w:rsidRPr="00034398" w:rsidRDefault="0021511E" w:rsidP="00491202">
            <w:r w:rsidRPr="00034398">
              <w:t>Quality</w:t>
            </w:r>
          </w:p>
        </w:tc>
        <w:tc>
          <w:tcPr>
            <w:tcW w:w="8190" w:type="dxa"/>
          </w:tcPr>
          <w:p w:rsidR="0021511E" w:rsidRPr="00034398" w:rsidRDefault="0021511E" w:rsidP="00491202">
            <w:pPr>
              <w:jc w:val="both"/>
            </w:pPr>
            <w:r w:rsidRPr="00034398">
              <w:t xml:space="preserve">A documented quality driven process for destruction of paper documents and maintaining certified copies in an </w:t>
            </w:r>
            <w:proofErr w:type="spellStart"/>
            <w:r w:rsidRPr="00034398">
              <w:t>eTMF</w:t>
            </w:r>
            <w:proofErr w:type="spellEnd"/>
            <w:r w:rsidRPr="00034398">
              <w:t xml:space="preserve"> system.</w:t>
            </w:r>
          </w:p>
        </w:tc>
      </w:tr>
      <w:tr w:rsidR="0021511E" w:rsidRPr="00034398" w:rsidTr="00D73E72">
        <w:tc>
          <w:tcPr>
            <w:tcW w:w="1098" w:type="dxa"/>
          </w:tcPr>
          <w:p w:rsidR="0021511E" w:rsidRPr="00034398" w:rsidRDefault="00D73E72" w:rsidP="00491202">
            <w:r>
              <w:t>Process map steps 308-311</w:t>
            </w:r>
          </w:p>
        </w:tc>
        <w:tc>
          <w:tcPr>
            <w:tcW w:w="990" w:type="dxa"/>
          </w:tcPr>
          <w:p w:rsidR="0021511E" w:rsidRPr="00034398" w:rsidRDefault="0021511E" w:rsidP="00491202"/>
        </w:tc>
        <w:tc>
          <w:tcPr>
            <w:tcW w:w="8190" w:type="dxa"/>
          </w:tcPr>
          <w:p w:rsidR="0021511E" w:rsidRPr="00034398" w:rsidRDefault="0021511E" w:rsidP="00491202">
            <w:pPr>
              <w:pStyle w:val="ListParagraph"/>
              <w:ind w:left="24"/>
            </w:pPr>
            <w:r w:rsidRPr="00034398">
              <w:t>In compliance with regulations and legal requirements</w:t>
            </w:r>
          </w:p>
          <w:p w:rsidR="00065BE0" w:rsidRPr="00034398" w:rsidRDefault="00065BE0" w:rsidP="004F483C"/>
          <w:p w:rsidR="00065BE0" w:rsidRPr="00034398" w:rsidRDefault="00065BE0" w:rsidP="00065BE0">
            <w:pPr>
              <w:rPr>
                <w:rFonts w:eastAsia="Times New Roman"/>
                <w:b/>
                <w:color w:val="000000"/>
                <w:lang w:eastAsia="en-GB"/>
              </w:rPr>
            </w:pPr>
            <w:proofErr w:type="spellStart"/>
            <w:r w:rsidRPr="00034398">
              <w:rPr>
                <w:rFonts w:eastAsia="Times New Roman"/>
                <w:b/>
                <w:color w:val="000000"/>
                <w:lang w:eastAsia="en-GB"/>
              </w:rPr>
              <w:t>eTMF</w:t>
            </w:r>
            <w:proofErr w:type="spellEnd"/>
            <w:r w:rsidRPr="00034398">
              <w:rPr>
                <w:rFonts w:eastAsia="Times New Roman"/>
                <w:b/>
                <w:color w:val="000000"/>
                <w:lang w:eastAsia="en-GB"/>
              </w:rPr>
              <w:t xml:space="preserve"> systems </w:t>
            </w:r>
          </w:p>
          <w:p w:rsidR="00065BE0" w:rsidRPr="00034398" w:rsidRDefault="00065BE0" w:rsidP="00065BE0">
            <w:r w:rsidRPr="00034398">
              <w:rPr>
                <w:rFonts w:eastAsia="Times New Roman"/>
                <w:color w:val="000000"/>
                <w:lang w:eastAsia="en-GB"/>
              </w:rPr>
              <w:t xml:space="preserve">If companies wish to retain these copies in an </w:t>
            </w:r>
            <w:proofErr w:type="spellStart"/>
            <w:r w:rsidRPr="00034398">
              <w:rPr>
                <w:rFonts w:eastAsia="Times New Roman"/>
                <w:color w:val="000000"/>
                <w:lang w:eastAsia="en-GB"/>
              </w:rPr>
              <w:t>eTMF</w:t>
            </w:r>
            <w:proofErr w:type="spellEnd"/>
            <w:r w:rsidRPr="00034398">
              <w:rPr>
                <w:rFonts w:eastAsia="Times New Roman"/>
                <w:color w:val="000000"/>
                <w:lang w:eastAsia="en-GB"/>
              </w:rPr>
              <w:t xml:space="preserve"> system, in lieu of paper, the </w:t>
            </w:r>
            <w:proofErr w:type="spellStart"/>
            <w:r w:rsidRPr="00034398">
              <w:rPr>
                <w:rFonts w:eastAsia="Times New Roman"/>
                <w:color w:val="000000"/>
                <w:lang w:eastAsia="en-GB"/>
              </w:rPr>
              <w:t>eTMF</w:t>
            </w:r>
            <w:proofErr w:type="spellEnd"/>
            <w:r w:rsidRPr="00034398">
              <w:rPr>
                <w:rFonts w:eastAsia="Times New Roman"/>
                <w:color w:val="000000"/>
                <w:lang w:eastAsia="en-GB"/>
              </w:rPr>
              <w:t xml:space="preserve"> system would have to comply with FDA 21 CRF part 11 and </w:t>
            </w:r>
            <w:r w:rsidRPr="00034398">
              <w:t>Section 5.5 of the Note for Guidance on Good Clinical Practice (CPMP/ICH/GCP/135/95)1.</w:t>
            </w:r>
          </w:p>
          <w:p w:rsidR="00065BE0" w:rsidRPr="00034398" w:rsidRDefault="00065BE0" w:rsidP="00065BE0"/>
          <w:p w:rsidR="00065BE0" w:rsidRPr="0006566A" w:rsidRDefault="00065BE0" w:rsidP="00065BE0">
            <w:pPr>
              <w:rPr>
                <w:rFonts w:eastAsia="Times New Roman"/>
                <w:color w:val="000000"/>
                <w:lang w:eastAsia="en-GB"/>
              </w:rPr>
            </w:pPr>
            <w:r w:rsidRPr="00034398">
              <w:rPr>
                <w:rFonts w:eastAsia="Times New Roman"/>
                <w:color w:val="000000"/>
                <w:lang w:eastAsia="en-GB"/>
              </w:rPr>
              <w:t>This includes:</w:t>
            </w:r>
          </w:p>
          <w:p w:rsidR="00065BE0" w:rsidRPr="00034398" w:rsidRDefault="00065BE0" w:rsidP="00065BE0">
            <w:pPr>
              <w:numPr>
                <w:ilvl w:val="0"/>
                <w:numId w:val="8"/>
              </w:numPr>
            </w:pPr>
            <w:r w:rsidRPr="00034398">
              <w:t>System validation</w:t>
            </w:r>
          </w:p>
          <w:p w:rsidR="00065BE0" w:rsidRPr="00034398" w:rsidRDefault="00065BE0" w:rsidP="00065BE0">
            <w:pPr>
              <w:numPr>
                <w:ilvl w:val="0"/>
                <w:numId w:val="8"/>
              </w:numPr>
            </w:pPr>
            <w:r w:rsidRPr="00034398">
              <w:t>Maintenance of  SOPs for the use of the system</w:t>
            </w:r>
          </w:p>
          <w:p w:rsidR="00065BE0" w:rsidRPr="00034398" w:rsidRDefault="00065BE0" w:rsidP="00065BE0">
            <w:pPr>
              <w:numPr>
                <w:ilvl w:val="0"/>
                <w:numId w:val="8"/>
              </w:numPr>
            </w:pPr>
            <w:r w:rsidRPr="00034398">
              <w:t xml:space="preserve">Maintenance of an </w:t>
            </w:r>
            <w:proofErr w:type="spellStart"/>
            <w:r w:rsidRPr="00034398">
              <w:t>an</w:t>
            </w:r>
            <w:proofErr w:type="spellEnd"/>
            <w:r w:rsidRPr="00034398">
              <w:t xml:space="preserve"> audit trail of data changes ensuring that there is no deletion of entered data</w:t>
            </w:r>
          </w:p>
          <w:p w:rsidR="00065BE0" w:rsidRPr="00034398" w:rsidRDefault="00065BE0" w:rsidP="00065BE0">
            <w:pPr>
              <w:numPr>
                <w:ilvl w:val="0"/>
                <w:numId w:val="8"/>
              </w:numPr>
            </w:pPr>
            <w:r w:rsidRPr="00034398">
              <w:t>Maintenance of a security system to protect against unauthorized access</w:t>
            </w:r>
          </w:p>
          <w:p w:rsidR="00065BE0" w:rsidRPr="00034398" w:rsidRDefault="00065BE0" w:rsidP="00065BE0">
            <w:pPr>
              <w:numPr>
                <w:ilvl w:val="0"/>
                <w:numId w:val="8"/>
              </w:numPr>
            </w:pPr>
            <w:r w:rsidRPr="00034398">
              <w:t>Maintenance of  list of the individuals authorized to make data changes</w:t>
            </w:r>
          </w:p>
          <w:p w:rsidR="00065BE0" w:rsidRPr="00034398" w:rsidRDefault="00065BE0" w:rsidP="00065BE0">
            <w:pPr>
              <w:numPr>
                <w:ilvl w:val="0"/>
                <w:numId w:val="8"/>
              </w:numPr>
              <w:rPr>
                <w:rFonts w:eastAsia="Times New Roman"/>
                <w:color w:val="000000"/>
                <w:lang w:eastAsia="en-GB"/>
              </w:rPr>
            </w:pPr>
            <w:r w:rsidRPr="00034398">
              <w:t>Maintenance of adequate backup of the data, safeguard the blinding of the study and archiving of any source data (i.e. hard copy and electronic)</w:t>
            </w:r>
          </w:p>
          <w:p w:rsidR="00065BE0" w:rsidRPr="00034398" w:rsidRDefault="00065BE0" w:rsidP="00065BE0">
            <w:pPr>
              <w:numPr>
                <w:ilvl w:val="0"/>
                <w:numId w:val="8"/>
              </w:numPr>
              <w:rPr>
                <w:rFonts w:eastAsia="Times New Roman"/>
                <w:color w:val="000000"/>
                <w:lang w:eastAsia="en-GB"/>
              </w:rPr>
            </w:pPr>
            <w:r w:rsidRPr="00034398">
              <w:rPr>
                <w:rFonts w:eastAsia="Times New Roman"/>
                <w:color w:val="000000"/>
                <w:lang w:eastAsia="en-GB"/>
              </w:rPr>
              <w:t>Appropriate training records for those involved in the scanning and uploading processes</w:t>
            </w:r>
          </w:p>
          <w:p w:rsidR="00065BE0" w:rsidRPr="00034398" w:rsidRDefault="00065BE0" w:rsidP="00065BE0">
            <w:pPr>
              <w:numPr>
                <w:ilvl w:val="0"/>
                <w:numId w:val="8"/>
              </w:numPr>
              <w:rPr>
                <w:rFonts w:eastAsia="Times New Roman"/>
                <w:color w:val="000000"/>
                <w:lang w:eastAsia="en-GB"/>
              </w:rPr>
            </w:pPr>
            <w:r w:rsidRPr="00034398">
              <w:rPr>
                <w:rFonts w:eastAsia="Times New Roman"/>
                <w:color w:val="000000"/>
                <w:lang w:eastAsia="en-GB"/>
              </w:rPr>
              <w:t>Documents being easily located and traceable in the system</w:t>
            </w:r>
          </w:p>
          <w:p w:rsidR="00065BE0" w:rsidRPr="00034398" w:rsidRDefault="00065BE0" w:rsidP="00491202">
            <w:pPr>
              <w:pStyle w:val="ListParagraph"/>
              <w:ind w:left="24"/>
            </w:pPr>
          </w:p>
        </w:tc>
      </w:tr>
      <w:tr w:rsidR="0021511E" w:rsidRPr="00034398" w:rsidTr="00D73E72">
        <w:tc>
          <w:tcPr>
            <w:tcW w:w="1098" w:type="dxa"/>
          </w:tcPr>
          <w:p w:rsidR="0021511E" w:rsidRPr="00034398" w:rsidRDefault="0021511E" w:rsidP="00491202"/>
        </w:tc>
        <w:tc>
          <w:tcPr>
            <w:tcW w:w="990" w:type="dxa"/>
          </w:tcPr>
          <w:p w:rsidR="0021511E" w:rsidRPr="00034398" w:rsidRDefault="0021511E" w:rsidP="00491202"/>
        </w:tc>
        <w:tc>
          <w:tcPr>
            <w:tcW w:w="8190" w:type="dxa"/>
          </w:tcPr>
          <w:p w:rsidR="0021511E" w:rsidRPr="00034398" w:rsidRDefault="0021511E" w:rsidP="00491202">
            <w:pPr>
              <w:jc w:val="both"/>
              <w:rPr>
                <w:u w:val="single"/>
              </w:rPr>
            </w:pPr>
            <w:r w:rsidRPr="00034398">
              <w:rPr>
                <w:u w:val="single"/>
              </w:rPr>
              <w:t>BIBLIOGRAPHY/REFERENCES:</w:t>
            </w:r>
          </w:p>
        </w:tc>
      </w:tr>
      <w:tr w:rsidR="0021511E" w:rsidRPr="00034398" w:rsidTr="00D73E72">
        <w:tc>
          <w:tcPr>
            <w:tcW w:w="1098" w:type="dxa"/>
          </w:tcPr>
          <w:p w:rsidR="0021511E" w:rsidRPr="00034398" w:rsidRDefault="0021511E" w:rsidP="00491202"/>
        </w:tc>
        <w:tc>
          <w:tcPr>
            <w:tcW w:w="990" w:type="dxa"/>
          </w:tcPr>
          <w:p w:rsidR="0021511E" w:rsidRPr="00034398" w:rsidRDefault="0021511E" w:rsidP="00491202">
            <w:pPr>
              <w:jc w:val="right"/>
            </w:pPr>
            <w:r w:rsidRPr="00034398">
              <w:t>1.</w:t>
            </w:r>
          </w:p>
        </w:tc>
        <w:tc>
          <w:tcPr>
            <w:tcW w:w="8190" w:type="dxa"/>
          </w:tcPr>
          <w:p w:rsidR="00065BE0" w:rsidRPr="00034398" w:rsidRDefault="00065BE0" w:rsidP="00065BE0">
            <w:r w:rsidRPr="00034398">
              <w:t>From Kansas Historical Society on Electronic Records (</w:t>
            </w:r>
            <w:hyperlink r:id="rId10" w:history="1">
              <w:r w:rsidRPr="00034398">
                <w:rPr>
                  <w:rStyle w:val="Hyperlink"/>
                </w:rPr>
                <w:t>http://www.kshs.org/p/digital-imaging-guidelines-for-state-agencies/11329</w:t>
              </w:r>
            </w:hyperlink>
            <w:r w:rsidRPr="00034398">
              <w:t xml:space="preserve">): </w:t>
            </w:r>
          </w:p>
          <w:p w:rsidR="00065BE0" w:rsidRPr="00034398" w:rsidRDefault="00065BE0" w:rsidP="00065BE0">
            <w:pPr>
              <w:pStyle w:val="sanssmall"/>
              <w:rPr>
                <w:rFonts w:asciiTheme="minorHAnsi" w:hAnsiTheme="minorHAnsi"/>
                <w:color w:val="000000"/>
                <w:sz w:val="22"/>
                <w:szCs w:val="22"/>
              </w:rPr>
            </w:pPr>
            <w:r w:rsidRPr="00034398">
              <w:rPr>
                <w:rFonts w:asciiTheme="minorHAnsi" w:hAnsiTheme="minorHAnsi"/>
                <w:color w:val="000000"/>
                <w:sz w:val="22"/>
                <w:szCs w:val="22"/>
              </w:rPr>
              <w:t>Recommendation 7: When determining document scanning resolution, consider data storage requirements, document scanning throughput rates, and the accurate reproduction of the image. Validate vendor claims using a sampling of the agency's documents.</w:t>
            </w:r>
          </w:p>
          <w:p w:rsidR="00065BE0" w:rsidRPr="00034398" w:rsidRDefault="00065BE0" w:rsidP="00065BE0">
            <w:pPr>
              <w:pStyle w:val="NormalWeb"/>
              <w:rPr>
                <w:rFonts w:asciiTheme="minorHAnsi" w:hAnsiTheme="minorHAnsi"/>
                <w:color w:val="000000"/>
                <w:sz w:val="22"/>
                <w:szCs w:val="22"/>
              </w:rPr>
            </w:pPr>
            <w:r w:rsidRPr="00034398">
              <w:rPr>
                <w:rFonts w:asciiTheme="minorHAnsi" w:hAnsiTheme="minorHAnsi"/>
                <w:color w:val="000000"/>
                <w:sz w:val="22"/>
                <w:szCs w:val="22"/>
              </w:rPr>
              <w:t>A digitized image consists of black and white dots or picture elements (pixels) measured in dots per inch (dpi). The higher the number of dpi, the higher the legibility of the reproduced image. Images scanned at higher dpi rates, however, use more storage space on the disk and may require longer scanning times. The selection of scanning density involves a trade-off between image clarity, storage capacity, and speed. When selecting a scanner, ask the vendor to perform a quality test on a broad sampling of documents at various dpi settings so that an appropriate end-to-end throughput rate and resolution can be determined.</w:t>
            </w:r>
          </w:p>
          <w:p w:rsidR="00065BE0" w:rsidRPr="00D73E72" w:rsidRDefault="00065BE0" w:rsidP="00D73E72">
            <w:pPr>
              <w:pStyle w:val="NormalWeb"/>
              <w:rPr>
                <w:rFonts w:asciiTheme="minorHAnsi" w:hAnsiTheme="minorHAnsi"/>
                <w:color w:val="000000"/>
                <w:sz w:val="22"/>
                <w:szCs w:val="22"/>
              </w:rPr>
            </w:pPr>
            <w:r w:rsidRPr="00034398">
              <w:rPr>
                <w:rFonts w:asciiTheme="minorHAnsi" w:hAnsiTheme="minorHAnsi"/>
                <w:color w:val="000000"/>
                <w:sz w:val="22"/>
                <w:szCs w:val="22"/>
              </w:rPr>
              <w:t>For good quality images in scanning modern office records, use a scanning density of at least 300 dpi. A higher scanning density (600 dpi or higher) is appropriate for deteriorating documents, and documents with a visual element such as, engineering drawings, maps, or documents with background detail. The display resolution of the inspection/verification monitor and printer should match the scanning density of the document scanner. When scanning continuous tone images, such as photographs, maps, and illustrations, use gray scale or color imaging technology.</w:t>
            </w:r>
          </w:p>
          <w:p w:rsidR="00065BE0" w:rsidRPr="00034398" w:rsidRDefault="00065BE0" w:rsidP="00065BE0">
            <w:pPr>
              <w:pStyle w:val="sanssmall"/>
              <w:rPr>
                <w:rFonts w:asciiTheme="minorHAnsi" w:hAnsiTheme="minorHAnsi"/>
                <w:color w:val="000000"/>
                <w:sz w:val="22"/>
                <w:szCs w:val="22"/>
              </w:rPr>
            </w:pPr>
            <w:r w:rsidRPr="00034398">
              <w:rPr>
                <w:rFonts w:asciiTheme="minorHAnsi" w:hAnsiTheme="minorHAnsi"/>
                <w:color w:val="000000"/>
                <w:sz w:val="22"/>
                <w:szCs w:val="22"/>
              </w:rPr>
              <w:t>Recommendation 10: Use an indexing database that provides for efficient retrieval, ease of use, and up-to-date information about the digital images stored in the system. The indexing database should be selected after an analysis of agency operations and user needs.</w:t>
            </w:r>
          </w:p>
          <w:p w:rsidR="0021511E" w:rsidRPr="00034398" w:rsidRDefault="00065BE0" w:rsidP="00065BE0">
            <w:pPr>
              <w:pStyle w:val="NormalWeb"/>
              <w:rPr>
                <w:rFonts w:asciiTheme="minorHAnsi" w:hAnsiTheme="minorHAnsi"/>
                <w:color w:val="000000"/>
                <w:sz w:val="22"/>
                <w:szCs w:val="22"/>
              </w:rPr>
            </w:pPr>
            <w:r w:rsidRPr="00034398">
              <w:rPr>
                <w:rFonts w:asciiTheme="minorHAnsi" w:hAnsiTheme="minorHAnsi"/>
                <w:color w:val="000000"/>
                <w:sz w:val="22"/>
                <w:szCs w:val="22"/>
              </w:rPr>
              <w:t>Reliable access to scanned images depends on an accurate, up-to-date index database. Indexing a digital image involves linking descriptive image information with header file information. Normally, index data is manually key-entered using the original documents or the scanned images, either at the time of image capture or later in the production process. Index data verification, in which database entries are compared with the original source documents for completeness and accuracy, is crucial because an erroneous index term may result in the inability to retrieve related images.</w:t>
            </w:r>
          </w:p>
        </w:tc>
      </w:tr>
      <w:tr w:rsidR="0021511E" w:rsidRPr="00034398" w:rsidTr="00D73E72">
        <w:tc>
          <w:tcPr>
            <w:tcW w:w="1098" w:type="dxa"/>
          </w:tcPr>
          <w:p w:rsidR="0021511E" w:rsidRPr="00034398" w:rsidRDefault="0021511E" w:rsidP="00491202"/>
        </w:tc>
        <w:tc>
          <w:tcPr>
            <w:tcW w:w="990" w:type="dxa"/>
          </w:tcPr>
          <w:p w:rsidR="0021511E" w:rsidRPr="00034398" w:rsidRDefault="00B46646" w:rsidP="00491202">
            <w:pPr>
              <w:jc w:val="right"/>
            </w:pPr>
            <w:r>
              <w:t>2</w:t>
            </w:r>
            <w:r w:rsidR="0021511E" w:rsidRPr="00034398">
              <w:t>.</w:t>
            </w:r>
          </w:p>
        </w:tc>
        <w:tc>
          <w:tcPr>
            <w:tcW w:w="8190" w:type="dxa"/>
          </w:tcPr>
          <w:p w:rsidR="0021511E" w:rsidRPr="00034398" w:rsidRDefault="0021511E" w:rsidP="00491202">
            <w:pPr>
              <w:jc w:val="both"/>
            </w:pPr>
          </w:p>
        </w:tc>
      </w:tr>
    </w:tbl>
    <w:p w:rsidR="00065BE0" w:rsidRPr="00034398" w:rsidRDefault="00065BE0"/>
    <w:tbl>
      <w:tblPr>
        <w:tblStyle w:val="TableGrid"/>
        <w:tblW w:w="10278" w:type="dxa"/>
        <w:tblLayout w:type="fixed"/>
        <w:tblLook w:val="04A0"/>
      </w:tblPr>
      <w:tblGrid>
        <w:gridCol w:w="1098"/>
        <w:gridCol w:w="990"/>
        <w:gridCol w:w="8190"/>
      </w:tblGrid>
      <w:tr w:rsidR="002F4269" w:rsidRPr="00034398" w:rsidTr="0006566A">
        <w:tc>
          <w:tcPr>
            <w:tcW w:w="1098" w:type="dxa"/>
            <w:tcBorders>
              <w:bottom w:val="single" w:sz="4" w:space="0" w:color="auto"/>
            </w:tcBorders>
          </w:tcPr>
          <w:p w:rsidR="002F4269" w:rsidRPr="00034398" w:rsidRDefault="002F4269" w:rsidP="00491202">
            <w:r w:rsidRPr="00034398">
              <w:t>4.</w:t>
            </w:r>
          </w:p>
        </w:tc>
        <w:tc>
          <w:tcPr>
            <w:tcW w:w="990" w:type="dxa"/>
            <w:tcBorders>
              <w:bottom w:val="single" w:sz="4" w:space="0" w:color="auto"/>
            </w:tcBorders>
          </w:tcPr>
          <w:p w:rsidR="002F4269" w:rsidRPr="00034398" w:rsidRDefault="002F4269" w:rsidP="00491202">
            <w:r w:rsidRPr="00034398">
              <w:t>Quality</w:t>
            </w:r>
          </w:p>
        </w:tc>
        <w:tc>
          <w:tcPr>
            <w:tcW w:w="8190" w:type="dxa"/>
          </w:tcPr>
          <w:p w:rsidR="002F4269" w:rsidRPr="00034398" w:rsidRDefault="002F4269" w:rsidP="00491202">
            <w:r w:rsidRPr="00034398">
              <w:t>Training – appropriate training must be completed and documented.</w:t>
            </w:r>
          </w:p>
        </w:tc>
      </w:tr>
      <w:tr w:rsidR="002F4269" w:rsidRPr="00034398" w:rsidTr="0006566A">
        <w:tc>
          <w:tcPr>
            <w:tcW w:w="1098" w:type="dxa"/>
            <w:tcBorders>
              <w:bottom w:val="nil"/>
            </w:tcBorders>
          </w:tcPr>
          <w:p w:rsidR="002F4269" w:rsidRPr="00034398" w:rsidRDefault="002F4269" w:rsidP="00491202"/>
        </w:tc>
        <w:tc>
          <w:tcPr>
            <w:tcW w:w="990" w:type="dxa"/>
            <w:tcBorders>
              <w:bottom w:val="nil"/>
            </w:tcBorders>
          </w:tcPr>
          <w:p w:rsidR="002F4269" w:rsidRPr="00034398" w:rsidRDefault="002F4269" w:rsidP="00491202"/>
        </w:tc>
        <w:tc>
          <w:tcPr>
            <w:tcW w:w="8190" w:type="dxa"/>
          </w:tcPr>
          <w:p w:rsidR="002F4269" w:rsidRPr="00034398" w:rsidRDefault="002F4269" w:rsidP="00491202">
            <w:pPr>
              <w:jc w:val="both"/>
              <w:rPr>
                <w:lang w:eastAsia="en-GB"/>
              </w:rPr>
            </w:pPr>
            <w:r w:rsidRPr="00034398">
              <w:rPr>
                <w:lang w:eastAsia="en-GB"/>
              </w:rPr>
              <w:t>All personnel involved in the scanning, uploading, and QC process should have appropriate training to enable that person to perform the assigned functions. All training should be documented, and training records should be maintained</w:t>
            </w:r>
            <w:r w:rsidRPr="00034398">
              <w:rPr>
                <w:lang w:eastAsia="en-GB"/>
              </w:rPr>
              <w:t>.</w:t>
            </w:r>
          </w:p>
          <w:p w:rsidR="002F4269" w:rsidRPr="00034398" w:rsidRDefault="002F4269" w:rsidP="00491202">
            <w:pPr>
              <w:jc w:val="both"/>
              <w:rPr>
                <w:lang w:eastAsia="en-GB"/>
              </w:rPr>
            </w:pPr>
          </w:p>
          <w:p w:rsidR="002F4269" w:rsidRPr="00034398" w:rsidRDefault="002F4269" w:rsidP="00491202">
            <w:pPr>
              <w:jc w:val="both"/>
            </w:pPr>
            <w:r w:rsidRPr="00034398">
              <w:t>Competency levels checked and assessed, and personnel certification documentation should be maintained.</w:t>
            </w:r>
          </w:p>
          <w:p w:rsidR="002F4269" w:rsidRPr="00034398" w:rsidRDefault="002F4269" w:rsidP="00491202">
            <w:pPr>
              <w:jc w:val="both"/>
            </w:pPr>
          </w:p>
        </w:tc>
      </w:tr>
      <w:tr w:rsidR="002F4269" w:rsidRPr="00034398" w:rsidTr="0006566A">
        <w:tc>
          <w:tcPr>
            <w:tcW w:w="1098" w:type="dxa"/>
            <w:tcBorders>
              <w:top w:val="nil"/>
              <w:bottom w:val="nil"/>
            </w:tcBorders>
          </w:tcPr>
          <w:p w:rsidR="002F4269" w:rsidRPr="00034398" w:rsidRDefault="002F4269" w:rsidP="00491202"/>
        </w:tc>
        <w:tc>
          <w:tcPr>
            <w:tcW w:w="990" w:type="dxa"/>
            <w:tcBorders>
              <w:top w:val="nil"/>
              <w:bottom w:val="nil"/>
            </w:tcBorders>
          </w:tcPr>
          <w:p w:rsidR="002F4269" w:rsidRPr="00034398" w:rsidRDefault="002F4269" w:rsidP="00491202"/>
        </w:tc>
        <w:tc>
          <w:tcPr>
            <w:tcW w:w="8190" w:type="dxa"/>
          </w:tcPr>
          <w:p w:rsidR="002F4269" w:rsidRPr="00034398" w:rsidRDefault="002F4269" w:rsidP="00491202">
            <w:pPr>
              <w:jc w:val="both"/>
              <w:rPr>
                <w:u w:val="single"/>
              </w:rPr>
            </w:pPr>
            <w:r w:rsidRPr="00034398">
              <w:rPr>
                <w:u w:val="single"/>
              </w:rPr>
              <w:t>BIBLIOGRAPHY/REFERENCES:</w:t>
            </w:r>
          </w:p>
        </w:tc>
      </w:tr>
      <w:tr w:rsidR="002F4269" w:rsidRPr="00034398" w:rsidTr="0006566A">
        <w:tc>
          <w:tcPr>
            <w:tcW w:w="1098" w:type="dxa"/>
            <w:tcBorders>
              <w:top w:val="nil"/>
              <w:bottom w:val="nil"/>
            </w:tcBorders>
          </w:tcPr>
          <w:p w:rsidR="002F4269" w:rsidRPr="00034398" w:rsidRDefault="002F4269" w:rsidP="00491202"/>
        </w:tc>
        <w:tc>
          <w:tcPr>
            <w:tcW w:w="990" w:type="dxa"/>
            <w:tcBorders>
              <w:top w:val="nil"/>
              <w:bottom w:val="nil"/>
            </w:tcBorders>
          </w:tcPr>
          <w:p w:rsidR="002F4269" w:rsidRPr="00034398" w:rsidRDefault="002F4269" w:rsidP="00491202">
            <w:pPr>
              <w:jc w:val="right"/>
            </w:pPr>
            <w:r w:rsidRPr="00034398">
              <w:t>1.</w:t>
            </w:r>
          </w:p>
        </w:tc>
        <w:tc>
          <w:tcPr>
            <w:tcW w:w="8190" w:type="dxa"/>
          </w:tcPr>
          <w:p w:rsidR="002F4269" w:rsidRPr="00034398" w:rsidRDefault="002F4269" w:rsidP="00491202">
            <w:pPr>
              <w:rPr>
                <w:lang w:eastAsia="en-GB"/>
              </w:rPr>
            </w:pPr>
            <w:hyperlink r:id="rId11" w:history="1">
              <w:r w:rsidRPr="00034398">
                <w:rPr>
                  <w:rStyle w:val="Hyperlink"/>
                  <w:color w:val="auto"/>
                  <w:u w:val="none"/>
                  <w:lang w:eastAsia="en-GB"/>
                </w:rPr>
                <w:t>21 CFR 211.25</w:t>
              </w:r>
            </w:hyperlink>
            <w:r w:rsidRPr="00034398">
              <w:rPr>
                <w:lang w:eastAsia="en-GB"/>
              </w:rPr>
              <w:t xml:space="preserve">; </w:t>
            </w:r>
            <w:hyperlink r:id="rId12" w:history="1">
              <w:proofErr w:type="spellStart"/>
              <w:r w:rsidRPr="00034398">
                <w:rPr>
                  <w:rStyle w:val="Hyperlink"/>
                  <w:color w:val="auto"/>
                  <w:u w:val="none"/>
                  <w:lang w:eastAsia="en-GB"/>
                </w:rPr>
                <w:t>Eurdralex</w:t>
              </w:r>
              <w:proofErr w:type="spellEnd"/>
              <w:r w:rsidRPr="00034398">
                <w:rPr>
                  <w:rStyle w:val="Hyperlink"/>
                  <w:color w:val="auto"/>
                  <w:u w:val="none"/>
                  <w:lang w:eastAsia="en-GB"/>
                </w:rPr>
                <w:t xml:space="preserve">, </w:t>
              </w:r>
              <w:proofErr w:type="spellStart"/>
              <w:r w:rsidRPr="00034398">
                <w:rPr>
                  <w:rStyle w:val="Hyperlink"/>
                  <w:color w:val="auto"/>
                  <w:u w:val="none"/>
                  <w:lang w:eastAsia="en-GB"/>
                </w:rPr>
                <w:t>Vol</w:t>
              </w:r>
              <w:proofErr w:type="spellEnd"/>
              <w:r w:rsidRPr="00034398">
                <w:rPr>
                  <w:rStyle w:val="Hyperlink"/>
                  <w:color w:val="auto"/>
                  <w:u w:val="none"/>
                  <w:lang w:eastAsia="en-GB"/>
                </w:rPr>
                <w:t xml:space="preserve"> 4, Chapt</w:t>
              </w:r>
              <w:r w:rsidRPr="00034398">
                <w:rPr>
                  <w:rStyle w:val="Hyperlink"/>
                  <w:color w:val="auto"/>
                  <w:u w:val="none"/>
                  <w:lang w:eastAsia="en-GB"/>
                </w:rPr>
                <w:t>er</w:t>
              </w:r>
              <w:r w:rsidRPr="00034398">
                <w:rPr>
                  <w:rStyle w:val="Hyperlink"/>
                  <w:color w:val="auto"/>
                  <w:u w:val="none"/>
                  <w:lang w:eastAsia="en-GB"/>
                </w:rPr>
                <w:t xml:space="preserve"> 2 Personnel</w:t>
              </w:r>
            </w:hyperlink>
          </w:p>
          <w:p w:rsidR="002F4269" w:rsidRPr="00034398" w:rsidRDefault="002F4269" w:rsidP="00491202">
            <w:pPr>
              <w:jc w:val="both"/>
            </w:pPr>
          </w:p>
        </w:tc>
      </w:tr>
      <w:tr w:rsidR="002F4269" w:rsidRPr="00034398" w:rsidTr="0006566A">
        <w:tc>
          <w:tcPr>
            <w:tcW w:w="1098" w:type="dxa"/>
            <w:tcBorders>
              <w:top w:val="nil"/>
            </w:tcBorders>
          </w:tcPr>
          <w:p w:rsidR="002F4269" w:rsidRPr="00034398" w:rsidRDefault="002F4269" w:rsidP="00491202"/>
        </w:tc>
        <w:tc>
          <w:tcPr>
            <w:tcW w:w="990" w:type="dxa"/>
            <w:tcBorders>
              <w:top w:val="nil"/>
            </w:tcBorders>
          </w:tcPr>
          <w:p w:rsidR="002F4269" w:rsidRPr="00034398" w:rsidRDefault="00B46646" w:rsidP="00491202">
            <w:pPr>
              <w:jc w:val="right"/>
            </w:pPr>
            <w:r>
              <w:t>2</w:t>
            </w:r>
            <w:r w:rsidR="002F4269" w:rsidRPr="00034398">
              <w:t>.</w:t>
            </w:r>
          </w:p>
        </w:tc>
        <w:tc>
          <w:tcPr>
            <w:tcW w:w="8190" w:type="dxa"/>
          </w:tcPr>
          <w:p w:rsidR="002F4269" w:rsidRPr="00034398" w:rsidRDefault="002F4269" w:rsidP="00491202">
            <w:pPr>
              <w:jc w:val="both"/>
            </w:pPr>
          </w:p>
        </w:tc>
      </w:tr>
    </w:tbl>
    <w:p w:rsidR="002F4269" w:rsidRPr="00034398" w:rsidRDefault="002F4269" w:rsidP="002F4269"/>
    <w:tbl>
      <w:tblPr>
        <w:tblStyle w:val="TableGrid"/>
        <w:tblW w:w="10278" w:type="dxa"/>
        <w:tblLayout w:type="fixed"/>
        <w:tblLook w:val="04A0"/>
      </w:tblPr>
      <w:tblGrid>
        <w:gridCol w:w="1098"/>
        <w:gridCol w:w="990"/>
        <w:gridCol w:w="8190"/>
      </w:tblGrid>
      <w:tr w:rsidR="002F4269" w:rsidRPr="00034398" w:rsidTr="0006566A">
        <w:tc>
          <w:tcPr>
            <w:tcW w:w="1098" w:type="dxa"/>
            <w:tcBorders>
              <w:bottom w:val="single" w:sz="4" w:space="0" w:color="auto"/>
            </w:tcBorders>
          </w:tcPr>
          <w:p w:rsidR="002F4269" w:rsidRPr="00034398" w:rsidRDefault="002F4269" w:rsidP="00491202">
            <w:r w:rsidRPr="00034398">
              <w:t>5</w:t>
            </w:r>
            <w:r w:rsidRPr="00034398">
              <w:t>.</w:t>
            </w:r>
          </w:p>
        </w:tc>
        <w:tc>
          <w:tcPr>
            <w:tcW w:w="990" w:type="dxa"/>
            <w:tcBorders>
              <w:bottom w:val="single" w:sz="4" w:space="0" w:color="auto"/>
            </w:tcBorders>
          </w:tcPr>
          <w:p w:rsidR="002F4269" w:rsidRPr="00034398" w:rsidRDefault="002F4269" w:rsidP="00491202">
            <w:r w:rsidRPr="00034398">
              <w:t>Quality</w:t>
            </w:r>
          </w:p>
        </w:tc>
        <w:tc>
          <w:tcPr>
            <w:tcW w:w="8190" w:type="dxa"/>
          </w:tcPr>
          <w:p w:rsidR="002F4269" w:rsidRPr="00034398" w:rsidRDefault="002F4269" w:rsidP="00491202">
            <w:pPr>
              <w:rPr>
                <w:lang w:eastAsia="en-GB"/>
              </w:rPr>
            </w:pPr>
            <w:r w:rsidRPr="00034398">
              <w:rPr>
                <w:lang w:eastAsia="en-GB"/>
              </w:rPr>
              <w:t xml:space="preserve">Consultants and Vendors </w:t>
            </w:r>
            <w:r w:rsidRPr="00034398">
              <w:rPr>
                <w:lang w:eastAsia="en-GB"/>
              </w:rPr>
              <w:t xml:space="preserve">– requirements </w:t>
            </w:r>
          </w:p>
        </w:tc>
      </w:tr>
      <w:tr w:rsidR="002F4269" w:rsidRPr="00034398" w:rsidTr="0006566A">
        <w:tc>
          <w:tcPr>
            <w:tcW w:w="1098" w:type="dxa"/>
            <w:tcBorders>
              <w:bottom w:val="nil"/>
            </w:tcBorders>
          </w:tcPr>
          <w:p w:rsidR="002F4269" w:rsidRPr="00034398" w:rsidRDefault="0006566A" w:rsidP="00491202">
            <w:r>
              <w:t>Process map steps</w:t>
            </w:r>
            <w:r w:rsidR="00F70534">
              <w:t xml:space="preserve"> </w:t>
            </w:r>
            <w:r w:rsidR="00C5314E" w:rsidRPr="00034398">
              <w:t>104-105</w:t>
            </w:r>
          </w:p>
        </w:tc>
        <w:tc>
          <w:tcPr>
            <w:tcW w:w="990" w:type="dxa"/>
            <w:tcBorders>
              <w:bottom w:val="nil"/>
            </w:tcBorders>
          </w:tcPr>
          <w:p w:rsidR="002F4269" w:rsidRPr="00034398" w:rsidRDefault="002F4269" w:rsidP="00491202"/>
        </w:tc>
        <w:tc>
          <w:tcPr>
            <w:tcW w:w="8190" w:type="dxa"/>
          </w:tcPr>
          <w:p w:rsidR="002F4269" w:rsidRPr="00034398" w:rsidRDefault="002F4269" w:rsidP="00491202">
            <w:pPr>
              <w:rPr>
                <w:lang w:eastAsia="en-GB"/>
              </w:rPr>
            </w:pPr>
            <w:r w:rsidRPr="00034398">
              <w:rPr>
                <w:lang w:eastAsia="en-GB"/>
              </w:rPr>
              <w:t xml:space="preserve">Any trial-related duty or function that is transferred to a third party (e.g., CRO, consultants, vendors) should be specified in writing. Consultants, Vendors and CROs should have training to </w:t>
            </w:r>
            <w:proofErr w:type="gramStart"/>
            <w:r w:rsidRPr="00034398">
              <w:rPr>
                <w:lang w:eastAsia="en-GB"/>
              </w:rPr>
              <w:t>advise</w:t>
            </w:r>
            <w:proofErr w:type="gramEnd"/>
            <w:r w:rsidRPr="00034398">
              <w:rPr>
                <w:lang w:eastAsia="en-GB"/>
              </w:rPr>
              <w:t xml:space="preserve"> on the subject for which they are retained. Records should be maintained stating the name, address, and qualifications of any consultants and the type of service they provide. </w:t>
            </w:r>
          </w:p>
          <w:p w:rsidR="002F4269" w:rsidRPr="00034398" w:rsidRDefault="002F4269" w:rsidP="00491202">
            <w:pPr>
              <w:rPr>
                <w:lang w:eastAsia="en-GB"/>
              </w:rPr>
            </w:pPr>
          </w:p>
          <w:p w:rsidR="002F4269" w:rsidRPr="00034398" w:rsidRDefault="002F4269" w:rsidP="00491202">
            <w:pPr>
              <w:rPr>
                <w:lang w:eastAsia="en-GB"/>
              </w:rPr>
            </w:pPr>
            <w:r w:rsidRPr="00034398">
              <w:rPr>
                <w:lang w:eastAsia="en-GB"/>
              </w:rPr>
              <w:t xml:space="preserve">It is recommended that the standards described in this document are included in vendor contracts, agreements, oversight plans, </w:t>
            </w:r>
            <w:r w:rsidRPr="00034398">
              <w:rPr>
                <w:i/>
                <w:lang w:eastAsia="en-GB"/>
              </w:rPr>
              <w:t>etc.</w:t>
            </w:r>
            <w:r w:rsidRPr="00034398">
              <w:rPr>
                <w:lang w:eastAsia="en-GB"/>
              </w:rPr>
              <w:t>, as appropriate.</w:t>
            </w:r>
          </w:p>
          <w:p w:rsidR="002F4269" w:rsidRPr="00034398" w:rsidRDefault="002F4269" w:rsidP="00491202">
            <w:pPr>
              <w:jc w:val="both"/>
            </w:pPr>
          </w:p>
        </w:tc>
      </w:tr>
      <w:tr w:rsidR="002F4269" w:rsidRPr="00034398" w:rsidTr="0006566A">
        <w:tc>
          <w:tcPr>
            <w:tcW w:w="1098" w:type="dxa"/>
            <w:tcBorders>
              <w:top w:val="nil"/>
              <w:bottom w:val="nil"/>
            </w:tcBorders>
          </w:tcPr>
          <w:p w:rsidR="002F4269" w:rsidRPr="00034398" w:rsidRDefault="002F4269" w:rsidP="00491202"/>
        </w:tc>
        <w:tc>
          <w:tcPr>
            <w:tcW w:w="990" w:type="dxa"/>
            <w:tcBorders>
              <w:top w:val="nil"/>
              <w:bottom w:val="nil"/>
            </w:tcBorders>
          </w:tcPr>
          <w:p w:rsidR="002F4269" w:rsidRPr="00034398" w:rsidRDefault="002F4269" w:rsidP="00491202"/>
        </w:tc>
        <w:tc>
          <w:tcPr>
            <w:tcW w:w="8190" w:type="dxa"/>
          </w:tcPr>
          <w:p w:rsidR="002F4269" w:rsidRPr="00034398" w:rsidRDefault="002F4269" w:rsidP="00491202">
            <w:pPr>
              <w:jc w:val="both"/>
              <w:rPr>
                <w:u w:val="single"/>
              </w:rPr>
            </w:pPr>
            <w:r w:rsidRPr="00034398">
              <w:rPr>
                <w:u w:val="single"/>
              </w:rPr>
              <w:t>BIBLIOGRAPHY/REFERENCES:</w:t>
            </w:r>
          </w:p>
        </w:tc>
      </w:tr>
      <w:tr w:rsidR="002F4269" w:rsidRPr="00034398" w:rsidTr="0006566A">
        <w:tc>
          <w:tcPr>
            <w:tcW w:w="1098" w:type="dxa"/>
            <w:tcBorders>
              <w:top w:val="nil"/>
              <w:bottom w:val="nil"/>
            </w:tcBorders>
          </w:tcPr>
          <w:p w:rsidR="002F4269" w:rsidRPr="00034398" w:rsidRDefault="002F4269" w:rsidP="00491202"/>
        </w:tc>
        <w:tc>
          <w:tcPr>
            <w:tcW w:w="990" w:type="dxa"/>
            <w:tcBorders>
              <w:top w:val="nil"/>
              <w:bottom w:val="nil"/>
            </w:tcBorders>
          </w:tcPr>
          <w:p w:rsidR="002F4269" w:rsidRPr="00034398" w:rsidRDefault="002F4269" w:rsidP="00491202">
            <w:pPr>
              <w:jc w:val="right"/>
            </w:pPr>
            <w:r w:rsidRPr="00034398">
              <w:t>1.</w:t>
            </w:r>
          </w:p>
        </w:tc>
        <w:tc>
          <w:tcPr>
            <w:tcW w:w="8190" w:type="dxa"/>
          </w:tcPr>
          <w:p w:rsidR="002F4269" w:rsidRPr="00034398" w:rsidRDefault="002F4269" w:rsidP="00491202">
            <w:pPr>
              <w:rPr>
                <w:lang w:eastAsia="en-GB"/>
              </w:rPr>
            </w:pPr>
            <w:r w:rsidRPr="00034398">
              <w:rPr>
                <w:lang w:eastAsia="en-GB"/>
              </w:rPr>
              <w:t xml:space="preserve">Section 5.2 of </w:t>
            </w:r>
            <w:hyperlink r:id="rId13" w:history="1">
              <w:r w:rsidRPr="00034398">
                <w:rPr>
                  <w:rStyle w:val="Hyperlink"/>
                  <w:color w:val="auto"/>
                  <w:u w:val="none"/>
                  <w:lang w:eastAsia="en-GB"/>
                </w:rPr>
                <w:t>ICH GCP Guideline</w:t>
              </w:r>
            </w:hyperlink>
            <w:r w:rsidRPr="00034398">
              <w:rPr>
                <w:lang w:eastAsia="en-GB"/>
              </w:rPr>
              <w:t xml:space="preserve">; </w:t>
            </w:r>
            <w:hyperlink r:id="rId14" w:history="1">
              <w:r w:rsidRPr="00034398">
                <w:rPr>
                  <w:rStyle w:val="Hyperlink"/>
                  <w:color w:val="auto"/>
                  <w:u w:val="none"/>
                  <w:lang w:eastAsia="en-GB"/>
                </w:rPr>
                <w:t>21 CFR 211.34</w:t>
              </w:r>
            </w:hyperlink>
          </w:p>
          <w:p w:rsidR="002F4269" w:rsidRPr="00034398" w:rsidRDefault="002F4269" w:rsidP="00491202">
            <w:pPr>
              <w:jc w:val="both"/>
            </w:pPr>
          </w:p>
        </w:tc>
      </w:tr>
      <w:tr w:rsidR="002F4269" w:rsidRPr="00034398" w:rsidTr="0006566A">
        <w:tc>
          <w:tcPr>
            <w:tcW w:w="1098" w:type="dxa"/>
            <w:tcBorders>
              <w:top w:val="nil"/>
            </w:tcBorders>
          </w:tcPr>
          <w:p w:rsidR="002F4269" w:rsidRPr="00034398" w:rsidRDefault="002F4269" w:rsidP="00491202"/>
        </w:tc>
        <w:tc>
          <w:tcPr>
            <w:tcW w:w="990" w:type="dxa"/>
            <w:tcBorders>
              <w:top w:val="nil"/>
            </w:tcBorders>
          </w:tcPr>
          <w:p w:rsidR="002F4269" w:rsidRPr="00034398" w:rsidRDefault="00B46646" w:rsidP="00491202">
            <w:pPr>
              <w:jc w:val="right"/>
            </w:pPr>
            <w:r>
              <w:t>2</w:t>
            </w:r>
            <w:r w:rsidR="002F4269" w:rsidRPr="00034398">
              <w:t>.</w:t>
            </w:r>
          </w:p>
        </w:tc>
        <w:tc>
          <w:tcPr>
            <w:tcW w:w="8190" w:type="dxa"/>
          </w:tcPr>
          <w:p w:rsidR="002F4269" w:rsidRPr="00034398" w:rsidRDefault="002F4269" w:rsidP="00491202">
            <w:pPr>
              <w:jc w:val="both"/>
            </w:pPr>
          </w:p>
        </w:tc>
      </w:tr>
    </w:tbl>
    <w:p w:rsidR="00333D1D" w:rsidRDefault="00333D1D"/>
    <w:tbl>
      <w:tblPr>
        <w:tblStyle w:val="TableGrid"/>
        <w:tblW w:w="10278" w:type="dxa"/>
        <w:tblLayout w:type="fixed"/>
        <w:tblLook w:val="04A0"/>
      </w:tblPr>
      <w:tblGrid>
        <w:gridCol w:w="1098"/>
        <w:gridCol w:w="990"/>
        <w:gridCol w:w="8190"/>
      </w:tblGrid>
      <w:tr w:rsidR="00BA0EB4" w:rsidRPr="00034398" w:rsidTr="00491202">
        <w:tc>
          <w:tcPr>
            <w:tcW w:w="1098" w:type="dxa"/>
            <w:tcBorders>
              <w:bottom w:val="single" w:sz="4" w:space="0" w:color="auto"/>
            </w:tcBorders>
          </w:tcPr>
          <w:p w:rsidR="00BA0EB4" w:rsidRPr="00034398" w:rsidRDefault="00BA0EB4" w:rsidP="00491202">
            <w:r>
              <w:t>6</w:t>
            </w:r>
            <w:r w:rsidRPr="00034398">
              <w:t>.</w:t>
            </w:r>
          </w:p>
        </w:tc>
        <w:tc>
          <w:tcPr>
            <w:tcW w:w="990" w:type="dxa"/>
            <w:tcBorders>
              <w:bottom w:val="single" w:sz="4" w:space="0" w:color="auto"/>
            </w:tcBorders>
          </w:tcPr>
          <w:p w:rsidR="00BA0EB4" w:rsidRPr="00034398" w:rsidRDefault="00BA0EB4" w:rsidP="00491202">
            <w:r w:rsidRPr="00034398">
              <w:t>Quality</w:t>
            </w:r>
          </w:p>
        </w:tc>
        <w:tc>
          <w:tcPr>
            <w:tcW w:w="8190" w:type="dxa"/>
          </w:tcPr>
          <w:p w:rsidR="00BA0EB4" w:rsidRPr="00034398" w:rsidRDefault="00BA0EB4" w:rsidP="00491202">
            <w:pPr>
              <w:rPr>
                <w:lang w:eastAsia="en-GB"/>
              </w:rPr>
            </w:pPr>
            <w:r>
              <w:rPr>
                <w:lang w:eastAsia="en-GB"/>
              </w:rPr>
              <w:t>Quality monitoring</w:t>
            </w:r>
            <w:r w:rsidRPr="00034398">
              <w:rPr>
                <w:lang w:eastAsia="en-GB"/>
              </w:rPr>
              <w:t xml:space="preserve"> </w:t>
            </w:r>
          </w:p>
        </w:tc>
      </w:tr>
      <w:tr w:rsidR="00BA0EB4" w:rsidRPr="00034398" w:rsidTr="00491202">
        <w:tc>
          <w:tcPr>
            <w:tcW w:w="1098" w:type="dxa"/>
            <w:tcBorders>
              <w:bottom w:val="nil"/>
            </w:tcBorders>
          </w:tcPr>
          <w:p w:rsidR="00BA0EB4" w:rsidRPr="00034398" w:rsidRDefault="00BA0EB4" w:rsidP="00491202">
            <w:r>
              <w:t>Process map step</w:t>
            </w:r>
            <w:r>
              <w:t xml:space="preserve"> </w:t>
            </w:r>
            <w:r>
              <w:t>112</w:t>
            </w:r>
          </w:p>
        </w:tc>
        <w:tc>
          <w:tcPr>
            <w:tcW w:w="990" w:type="dxa"/>
            <w:tcBorders>
              <w:bottom w:val="nil"/>
            </w:tcBorders>
          </w:tcPr>
          <w:p w:rsidR="00BA0EB4" w:rsidRPr="00034398" w:rsidRDefault="00BA0EB4" w:rsidP="00491202"/>
        </w:tc>
        <w:tc>
          <w:tcPr>
            <w:tcW w:w="8190" w:type="dxa"/>
          </w:tcPr>
          <w:p w:rsidR="00BA0EB4" w:rsidRPr="00BA0EB4" w:rsidRDefault="00BA0EB4" w:rsidP="00BA0EB4">
            <w:pPr>
              <w:jc w:val="both"/>
            </w:pPr>
            <w:r w:rsidRPr="00BA0EB4">
              <w:rPr>
                <w:rFonts w:cs="Tahoma"/>
                <w:color w:val="000000"/>
              </w:rPr>
              <w:t>It is recommended to conduct routine monitoring of metrics and systems to ensure validation processes are being met and maintained.</w:t>
            </w:r>
          </w:p>
        </w:tc>
      </w:tr>
      <w:tr w:rsidR="00BA0EB4" w:rsidRPr="00034398" w:rsidTr="00491202">
        <w:tc>
          <w:tcPr>
            <w:tcW w:w="1098" w:type="dxa"/>
            <w:tcBorders>
              <w:top w:val="nil"/>
              <w:bottom w:val="nil"/>
            </w:tcBorders>
          </w:tcPr>
          <w:p w:rsidR="00BA0EB4" w:rsidRPr="00034398" w:rsidRDefault="00BA0EB4" w:rsidP="00491202"/>
        </w:tc>
        <w:tc>
          <w:tcPr>
            <w:tcW w:w="990" w:type="dxa"/>
            <w:tcBorders>
              <w:top w:val="nil"/>
              <w:bottom w:val="nil"/>
            </w:tcBorders>
          </w:tcPr>
          <w:p w:rsidR="00BA0EB4" w:rsidRPr="00034398" w:rsidRDefault="00BA0EB4" w:rsidP="00491202"/>
        </w:tc>
        <w:tc>
          <w:tcPr>
            <w:tcW w:w="8190" w:type="dxa"/>
          </w:tcPr>
          <w:p w:rsidR="00BA0EB4" w:rsidRPr="00034398" w:rsidRDefault="00BA0EB4" w:rsidP="00491202">
            <w:pPr>
              <w:jc w:val="both"/>
              <w:rPr>
                <w:u w:val="single"/>
              </w:rPr>
            </w:pPr>
            <w:r w:rsidRPr="00034398">
              <w:rPr>
                <w:u w:val="single"/>
              </w:rPr>
              <w:t>BIBLIOGRAPHY/REFERENCES:</w:t>
            </w:r>
          </w:p>
        </w:tc>
      </w:tr>
      <w:tr w:rsidR="00BA0EB4" w:rsidRPr="00034398" w:rsidTr="00491202">
        <w:tc>
          <w:tcPr>
            <w:tcW w:w="1098" w:type="dxa"/>
            <w:tcBorders>
              <w:top w:val="nil"/>
              <w:bottom w:val="nil"/>
            </w:tcBorders>
          </w:tcPr>
          <w:p w:rsidR="00BA0EB4" w:rsidRPr="00034398" w:rsidRDefault="00BA0EB4" w:rsidP="00491202"/>
        </w:tc>
        <w:tc>
          <w:tcPr>
            <w:tcW w:w="990" w:type="dxa"/>
            <w:tcBorders>
              <w:top w:val="nil"/>
              <w:bottom w:val="nil"/>
            </w:tcBorders>
          </w:tcPr>
          <w:p w:rsidR="00BA0EB4" w:rsidRPr="00034398" w:rsidRDefault="00BA0EB4" w:rsidP="00491202">
            <w:pPr>
              <w:jc w:val="right"/>
            </w:pPr>
            <w:r w:rsidRPr="00034398">
              <w:t>1.</w:t>
            </w:r>
          </w:p>
        </w:tc>
        <w:tc>
          <w:tcPr>
            <w:tcW w:w="8190" w:type="dxa"/>
          </w:tcPr>
          <w:p w:rsidR="00BA0EB4" w:rsidRPr="00034398" w:rsidRDefault="00BA0EB4" w:rsidP="00491202">
            <w:pPr>
              <w:rPr>
                <w:lang w:eastAsia="en-GB"/>
              </w:rPr>
            </w:pPr>
            <w:r>
              <w:rPr>
                <w:lang w:eastAsia="en-GB"/>
              </w:rPr>
              <w:t>Request Regulatory reference</w:t>
            </w:r>
          </w:p>
          <w:p w:rsidR="00BA0EB4" w:rsidRPr="00034398" w:rsidRDefault="00BA0EB4" w:rsidP="00491202">
            <w:pPr>
              <w:jc w:val="both"/>
            </w:pPr>
          </w:p>
        </w:tc>
      </w:tr>
      <w:tr w:rsidR="00BA0EB4" w:rsidRPr="00034398" w:rsidTr="00491202">
        <w:tc>
          <w:tcPr>
            <w:tcW w:w="1098" w:type="dxa"/>
            <w:tcBorders>
              <w:top w:val="nil"/>
            </w:tcBorders>
          </w:tcPr>
          <w:p w:rsidR="00BA0EB4" w:rsidRPr="00034398" w:rsidRDefault="00BA0EB4" w:rsidP="00491202"/>
        </w:tc>
        <w:tc>
          <w:tcPr>
            <w:tcW w:w="990" w:type="dxa"/>
            <w:tcBorders>
              <w:top w:val="nil"/>
            </w:tcBorders>
          </w:tcPr>
          <w:p w:rsidR="00BA0EB4" w:rsidRPr="00034398" w:rsidRDefault="00BA0EB4" w:rsidP="00491202">
            <w:pPr>
              <w:jc w:val="right"/>
            </w:pPr>
            <w:r>
              <w:t>2</w:t>
            </w:r>
            <w:r w:rsidRPr="00034398">
              <w:t>.</w:t>
            </w:r>
          </w:p>
        </w:tc>
        <w:tc>
          <w:tcPr>
            <w:tcW w:w="8190" w:type="dxa"/>
          </w:tcPr>
          <w:p w:rsidR="00BA0EB4" w:rsidRPr="00034398" w:rsidRDefault="00BA0EB4" w:rsidP="00491202">
            <w:pPr>
              <w:jc w:val="both"/>
            </w:pPr>
          </w:p>
        </w:tc>
      </w:tr>
    </w:tbl>
    <w:p w:rsidR="00BA0EB4" w:rsidRDefault="00BA0EB4"/>
    <w:tbl>
      <w:tblPr>
        <w:tblStyle w:val="TableGrid"/>
        <w:tblW w:w="10278" w:type="dxa"/>
        <w:tblLayout w:type="fixed"/>
        <w:tblLook w:val="04A0"/>
      </w:tblPr>
      <w:tblGrid>
        <w:gridCol w:w="1098"/>
        <w:gridCol w:w="990"/>
        <w:gridCol w:w="8190"/>
      </w:tblGrid>
      <w:tr w:rsidR="009729FE" w:rsidRPr="00034398" w:rsidTr="00491202">
        <w:tc>
          <w:tcPr>
            <w:tcW w:w="1098" w:type="dxa"/>
            <w:tcBorders>
              <w:bottom w:val="single" w:sz="4" w:space="0" w:color="auto"/>
            </w:tcBorders>
          </w:tcPr>
          <w:p w:rsidR="009729FE" w:rsidRPr="00034398" w:rsidRDefault="009729FE" w:rsidP="00491202">
            <w:r>
              <w:t>7</w:t>
            </w:r>
            <w:r w:rsidRPr="00034398">
              <w:t>.</w:t>
            </w:r>
          </w:p>
        </w:tc>
        <w:tc>
          <w:tcPr>
            <w:tcW w:w="990" w:type="dxa"/>
            <w:tcBorders>
              <w:bottom w:val="single" w:sz="4" w:space="0" w:color="auto"/>
            </w:tcBorders>
          </w:tcPr>
          <w:p w:rsidR="009729FE" w:rsidRPr="00034398" w:rsidRDefault="009729FE" w:rsidP="00491202">
            <w:r w:rsidRPr="00034398">
              <w:t>Quality</w:t>
            </w:r>
          </w:p>
        </w:tc>
        <w:tc>
          <w:tcPr>
            <w:tcW w:w="8190" w:type="dxa"/>
          </w:tcPr>
          <w:p w:rsidR="009729FE" w:rsidRPr="00034398" w:rsidRDefault="009729FE" w:rsidP="009729FE">
            <w:pPr>
              <w:rPr>
                <w:lang w:eastAsia="en-GB"/>
              </w:rPr>
            </w:pPr>
            <w:r>
              <w:rPr>
                <w:lang w:eastAsia="en-GB"/>
              </w:rPr>
              <w:t xml:space="preserve">Risk Assessment </w:t>
            </w:r>
            <w:r w:rsidRPr="00034398">
              <w:rPr>
                <w:lang w:eastAsia="en-GB"/>
              </w:rPr>
              <w:t xml:space="preserve"> </w:t>
            </w:r>
          </w:p>
        </w:tc>
      </w:tr>
      <w:tr w:rsidR="009729FE" w:rsidRPr="00BA0EB4" w:rsidTr="00491202">
        <w:tc>
          <w:tcPr>
            <w:tcW w:w="1098" w:type="dxa"/>
            <w:tcBorders>
              <w:bottom w:val="nil"/>
            </w:tcBorders>
          </w:tcPr>
          <w:p w:rsidR="009729FE" w:rsidRPr="00034398" w:rsidRDefault="009729FE" w:rsidP="00491202">
            <w:r>
              <w:t xml:space="preserve">Process map step </w:t>
            </w:r>
            <w:r>
              <w:t>112, 201</w:t>
            </w:r>
          </w:p>
        </w:tc>
        <w:tc>
          <w:tcPr>
            <w:tcW w:w="990" w:type="dxa"/>
            <w:tcBorders>
              <w:bottom w:val="nil"/>
            </w:tcBorders>
          </w:tcPr>
          <w:p w:rsidR="009729FE" w:rsidRPr="00034398" w:rsidRDefault="009729FE" w:rsidP="00491202"/>
        </w:tc>
        <w:tc>
          <w:tcPr>
            <w:tcW w:w="8190" w:type="dxa"/>
          </w:tcPr>
          <w:p w:rsidR="009729FE" w:rsidRDefault="009729FE" w:rsidP="009729FE">
            <w:pPr>
              <w:rPr>
                <w:rFonts w:cs="Tahoma"/>
                <w:color w:val="000000"/>
              </w:rPr>
            </w:pPr>
            <w:r w:rsidRPr="009729FE">
              <w:rPr>
                <w:rFonts w:cs="Tahoma"/>
                <w:color w:val="000000"/>
              </w:rPr>
              <w:t xml:space="preserve">A Risk Evaluation and Mitigation Strategy Plan </w:t>
            </w:r>
            <w:r>
              <w:rPr>
                <w:rFonts w:cs="Tahoma"/>
                <w:color w:val="000000"/>
              </w:rPr>
              <w:t>(REMS) should be established in a Paper Destruction pilot process.</w:t>
            </w:r>
          </w:p>
          <w:p w:rsidR="009729FE" w:rsidRPr="009729FE" w:rsidRDefault="009729FE" w:rsidP="009729FE">
            <w:pPr>
              <w:pStyle w:val="ListParagraph"/>
              <w:numPr>
                <w:ilvl w:val="0"/>
                <w:numId w:val="11"/>
              </w:numPr>
            </w:pPr>
            <w:r>
              <w:rPr>
                <w:rFonts w:cs="Tahoma"/>
                <w:color w:val="000000"/>
              </w:rPr>
              <w:t>Milestones and</w:t>
            </w:r>
            <w:r w:rsidRPr="009729FE">
              <w:rPr>
                <w:rFonts w:cs="Tahoma"/>
                <w:color w:val="000000"/>
              </w:rPr>
              <w:t xml:space="preserve"> consider</w:t>
            </w:r>
            <w:r>
              <w:rPr>
                <w:rFonts w:cs="Tahoma"/>
                <w:color w:val="000000"/>
              </w:rPr>
              <w:t>ations throughout the pilot, as well as at the end of the pilot to determine how to proceed with a Paper Destruction process.</w:t>
            </w:r>
          </w:p>
        </w:tc>
      </w:tr>
      <w:tr w:rsidR="009729FE" w:rsidRPr="00034398" w:rsidTr="00491202">
        <w:tc>
          <w:tcPr>
            <w:tcW w:w="1098" w:type="dxa"/>
            <w:tcBorders>
              <w:top w:val="nil"/>
              <w:bottom w:val="nil"/>
            </w:tcBorders>
          </w:tcPr>
          <w:p w:rsidR="009729FE" w:rsidRPr="00034398" w:rsidRDefault="009729FE" w:rsidP="00491202"/>
        </w:tc>
        <w:tc>
          <w:tcPr>
            <w:tcW w:w="990" w:type="dxa"/>
            <w:tcBorders>
              <w:top w:val="nil"/>
              <w:bottom w:val="nil"/>
            </w:tcBorders>
          </w:tcPr>
          <w:p w:rsidR="009729FE" w:rsidRPr="00034398" w:rsidRDefault="009729FE" w:rsidP="00491202"/>
        </w:tc>
        <w:tc>
          <w:tcPr>
            <w:tcW w:w="8190" w:type="dxa"/>
          </w:tcPr>
          <w:p w:rsidR="009729FE" w:rsidRPr="00034398" w:rsidRDefault="009729FE" w:rsidP="00491202">
            <w:pPr>
              <w:jc w:val="both"/>
              <w:rPr>
                <w:u w:val="single"/>
              </w:rPr>
            </w:pPr>
            <w:r w:rsidRPr="00034398">
              <w:rPr>
                <w:u w:val="single"/>
              </w:rPr>
              <w:t>BIBLIOGRAPHY/REFERENCES:</w:t>
            </w:r>
          </w:p>
        </w:tc>
      </w:tr>
      <w:tr w:rsidR="009729FE" w:rsidRPr="00034398" w:rsidTr="00491202">
        <w:tc>
          <w:tcPr>
            <w:tcW w:w="1098" w:type="dxa"/>
            <w:tcBorders>
              <w:top w:val="nil"/>
              <w:bottom w:val="nil"/>
            </w:tcBorders>
          </w:tcPr>
          <w:p w:rsidR="009729FE" w:rsidRPr="00034398" w:rsidRDefault="009729FE" w:rsidP="00491202"/>
        </w:tc>
        <w:tc>
          <w:tcPr>
            <w:tcW w:w="990" w:type="dxa"/>
            <w:tcBorders>
              <w:top w:val="nil"/>
              <w:bottom w:val="nil"/>
            </w:tcBorders>
          </w:tcPr>
          <w:p w:rsidR="009729FE" w:rsidRPr="00034398" w:rsidRDefault="009729FE" w:rsidP="00491202">
            <w:pPr>
              <w:jc w:val="right"/>
            </w:pPr>
            <w:r w:rsidRPr="00034398">
              <w:t>1.</w:t>
            </w:r>
          </w:p>
        </w:tc>
        <w:tc>
          <w:tcPr>
            <w:tcW w:w="8190" w:type="dxa"/>
          </w:tcPr>
          <w:p w:rsidR="009729FE" w:rsidRPr="00034398" w:rsidRDefault="009729FE" w:rsidP="009729FE"/>
        </w:tc>
      </w:tr>
      <w:tr w:rsidR="009729FE" w:rsidRPr="00034398" w:rsidTr="00491202">
        <w:tc>
          <w:tcPr>
            <w:tcW w:w="1098" w:type="dxa"/>
            <w:tcBorders>
              <w:top w:val="nil"/>
            </w:tcBorders>
          </w:tcPr>
          <w:p w:rsidR="009729FE" w:rsidRPr="00034398" w:rsidRDefault="009729FE" w:rsidP="00491202"/>
        </w:tc>
        <w:tc>
          <w:tcPr>
            <w:tcW w:w="990" w:type="dxa"/>
            <w:tcBorders>
              <w:top w:val="nil"/>
            </w:tcBorders>
          </w:tcPr>
          <w:p w:rsidR="009729FE" w:rsidRPr="00034398" w:rsidRDefault="009729FE" w:rsidP="00491202">
            <w:pPr>
              <w:jc w:val="right"/>
            </w:pPr>
            <w:r>
              <w:t>2</w:t>
            </w:r>
            <w:r w:rsidRPr="00034398">
              <w:t>.</w:t>
            </w:r>
          </w:p>
        </w:tc>
        <w:tc>
          <w:tcPr>
            <w:tcW w:w="8190" w:type="dxa"/>
          </w:tcPr>
          <w:p w:rsidR="009729FE" w:rsidRPr="00034398" w:rsidRDefault="009729FE" w:rsidP="00491202">
            <w:pPr>
              <w:jc w:val="both"/>
            </w:pPr>
          </w:p>
        </w:tc>
      </w:tr>
    </w:tbl>
    <w:p w:rsidR="009729FE" w:rsidRPr="00034398" w:rsidRDefault="009729FE"/>
    <w:sectPr w:rsidR="009729FE" w:rsidRPr="00034398" w:rsidSect="0099754E">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15E" w:rsidRDefault="00B3115E" w:rsidP="00674774">
      <w:pPr>
        <w:spacing w:after="0" w:line="240" w:lineRule="auto"/>
      </w:pPr>
      <w:r>
        <w:separator/>
      </w:r>
    </w:p>
  </w:endnote>
  <w:endnote w:type="continuationSeparator" w:id="0">
    <w:p w:rsidR="00B3115E" w:rsidRDefault="00B3115E" w:rsidP="00674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15E" w:rsidRDefault="00B3115E" w:rsidP="00674774">
      <w:pPr>
        <w:spacing w:after="0" w:line="240" w:lineRule="auto"/>
      </w:pPr>
      <w:r>
        <w:separator/>
      </w:r>
    </w:p>
  </w:footnote>
  <w:footnote w:type="continuationSeparator" w:id="0">
    <w:p w:rsidR="00B3115E" w:rsidRDefault="00B3115E" w:rsidP="00674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774" w:rsidRDefault="00674774">
    <w:pPr>
      <w:pStyle w:val="Header"/>
    </w:pPr>
    <w:r>
      <w:t xml:space="preserve">Version Date: </w:t>
    </w:r>
    <w:r w:rsidRPr="00674774">
      <w:rPr>
        <w:i/>
      </w:rPr>
      <w:t>31 May 2011</w:t>
    </w:r>
    <w:r>
      <w:rPr>
        <w:i/>
      </w:rPr>
      <w:tab/>
    </w:r>
    <w:r>
      <w:rPr>
        <w:i/>
      </w:rPr>
      <w:tab/>
    </w:r>
  </w:p>
  <w:p w:rsidR="00674774" w:rsidRDefault="006747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67172"/>
    <w:multiLevelType w:val="hybridMultilevel"/>
    <w:tmpl w:val="E6780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1E2251"/>
    <w:multiLevelType w:val="hybridMultilevel"/>
    <w:tmpl w:val="6EAA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4B5FA8"/>
    <w:multiLevelType w:val="hybridMultilevel"/>
    <w:tmpl w:val="D7B4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67983"/>
    <w:multiLevelType w:val="hybridMultilevel"/>
    <w:tmpl w:val="D928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40232"/>
    <w:multiLevelType w:val="hybridMultilevel"/>
    <w:tmpl w:val="DB9A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44780"/>
    <w:multiLevelType w:val="hybridMultilevel"/>
    <w:tmpl w:val="9740F1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562D6C"/>
    <w:multiLevelType w:val="hybridMultilevel"/>
    <w:tmpl w:val="77A4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6639D"/>
    <w:multiLevelType w:val="hybridMultilevel"/>
    <w:tmpl w:val="7B32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B70C5F"/>
    <w:multiLevelType w:val="hybridMultilevel"/>
    <w:tmpl w:val="7B9C9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7B65E00"/>
    <w:multiLevelType w:val="hybridMultilevel"/>
    <w:tmpl w:val="249CD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8D777A"/>
    <w:multiLevelType w:val="hybridMultilevel"/>
    <w:tmpl w:val="CC9E5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9"/>
  </w:num>
  <w:num w:numId="7">
    <w:abstractNumId w:val="4"/>
  </w:num>
  <w:num w:numId="8">
    <w:abstractNumId w:val="1"/>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AB0AB5"/>
    <w:rsid w:val="00034398"/>
    <w:rsid w:val="0006566A"/>
    <w:rsid w:val="00065BE0"/>
    <w:rsid w:val="00117801"/>
    <w:rsid w:val="0021511E"/>
    <w:rsid w:val="002508A5"/>
    <w:rsid w:val="002E1738"/>
    <w:rsid w:val="002F4269"/>
    <w:rsid w:val="003327E7"/>
    <w:rsid w:val="00333D1D"/>
    <w:rsid w:val="003E680A"/>
    <w:rsid w:val="00497D6F"/>
    <w:rsid w:val="004F483C"/>
    <w:rsid w:val="005B6921"/>
    <w:rsid w:val="005D2681"/>
    <w:rsid w:val="005F59E8"/>
    <w:rsid w:val="00631D8E"/>
    <w:rsid w:val="00636097"/>
    <w:rsid w:val="00666211"/>
    <w:rsid w:val="00674774"/>
    <w:rsid w:val="006A5738"/>
    <w:rsid w:val="00700C35"/>
    <w:rsid w:val="007C34D2"/>
    <w:rsid w:val="007C4037"/>
    <w:rsid w:val="007C5AED"/>
    <w:rsid w:val="007C605B"/>
    <w:rsid w:val="008038DD"/>
    <w:rsid w:val="00852585"/>
    <w:rsid w:val="009729FE"/>
    <w:rsid w:val="0099754E"/>
    <w:rsid w:val="009A46EF"/>
    <w:rsid w:val="009B304A"/>
    <w:rsid w:val="00A429E4"/>
    <w:rsid w:val="00A45935"/>
    <w:rsid w:val="00AB0AB5"/>
    <w:rsid w:val="00AC04FE"/>
    <w:rsid w:val="00B1110C"/>
    <w:rsid w:val="00B3115E"/>
    <w:rsid w:val="00B46646"/>
    <w:rsid w:val="00BA0EB4"/>
    <w:rsid w:val="00C5314E"/>
    <w:rsid w:val="00CD069E"/>
    <w:rsid w:val="00D653A4"/>
    <w:rsid w:val="00D73E72"/>
    <w:rsid w:val="00EB7AE9"/>
    <w:rsid w:val="00F67BAA"/>
    <w:rsid w:val="00F705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7801"/>
    <w:pPr>
      <w:ind w:left="720"/>
      <w:contextualSpacing/>
    </w:pPr>
  </w:style>
  <w:style w:type="paragraph" w:styleId="Header">
    <w:name w:val="header"/>
    <w:basedOn w:val="Normal"/>
    <w:link w:val="HeaderChar"/>
    <w:uiPriority w:val="99"/>
    <w:unhideWhenUsed/>
    <w:rsid w:val="00674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774"/>
  </w:style>
  <w:style w:type="paragraph" w:styleId="Footer">
    <w:name w:val="footer"/>
    <w:basedOn w:val="Normal"/>
    <w:link w:val="FooterChar"/>
    <w:uiPriority w:val="99"/>
    <w:semiHidden/>
    <w:unhideWhenUsed/>
    <w:rsid w:val="006747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774"/>
  </w:style>
  <w:style w:type="paragraph" w:styleId="BalloonText">
    <w:name w:val="Balloon Text"/>
    <w:basedOn w:val="Normal"/>
    <w:link w:val="BalloonTextChar"/>
    <w:uiPriority w:val="99"/>
    <w:semiHidden/>
    <w:unhideWhenUsed/>
    <w:rsid w:val="00674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74"/>
    <w:rPr>
      <w:rFonts w:ascii="Tahoma" w:hAnsi="Tahoma" w:cs="Tahoma"/>
      <w:sz w:val="16"/>
      <w:szCs w:val="16"/>
    </w:rPr>
  </w:style>
  <w:style w:type="character" w:styleId="Hyperlink">
    <w:name w:val="Hyperlink"/>
    <w:basedOn w:val="DefaultParagraphFont"/>
    <w:unhideWhenUsed/>
    <w:rsid w:val="0021511E"/>
    <w:rPr>
      <w:color w:val="0000FF"/>
      <w:u w:val="single"/>
    </w:rPr>
  </w:style>
  <w:style w:type="paragraph" w:customStyle="1" w:styleId="Default">
    <w:name w:val="Default"/>
    <w:rsid w:val="00B1110C"/>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B1110C"/>
    <w:rPr>
      <w:sz w:val="16"/>
      <w:szCs w:val="16"/>
    </w:rPr>
  </w:style>
  <w:style w:type="paragraph" w:styleId="CommentText">
    <w:name w:val="annotation text"/>
    <w:basedOn w:val="Normal"/>
    <w:link w:val="CommentTextChar"/>
    <w:uiPriority w:val="99"/>
    <w:semiHidden/>
    <w:unhideWhenUsed/>
    <w:rsid w:val="00B1110C"/>
    <w:pPr>
      <w:spacing w:after="0" w:line="240" w:lineRule="auto"/>
    </w:pPr>
    <w:rPr>
      <w:rFonts w:ascii="Verdana" w:eastAsia="Calibri" w:hAnsi="Verdana" w:cs="Times New Roman"/>
      <w:sz w:val="20"/>
      <w:szCs w:val="20"/>
      <w:lang w:val="en-GB" w:eastAsia="en-US"/>
    </w:rPr>
  </w:style>
  <w:style w:type="character" w:customStyle="1" w:styleId="CommentTextChar">
    <w:name w:val="Comment Text Char"/>
    <w:basedOn w:val="DefaultParagraphFont"/>
    <w:link w:val="CommentText"/>
    <w:uiPriority w:val="99"/>
    <w:semiHidden/>
    <w:rsid w:val="00B1110C"/>
    <w:rPr>
      <w:rFonts w:ascii="Verdana" w:eastAsia="Calibri" w:hAnsi="Verdana" w:cs="Times New Roman"/>
      <w:sz w:val="20"/>
      <w:szCs w:val="20"/>
      <w:lang w:val="en-GB" w:eastAsia="en-US"/>
    </w:rPr>
  </w:style>
  <w:style w:type="paragraph" w:styleId="NormalWeb">
    <w:name w:val="Normal (Web)"/>
    <w:basedOn w:val="Normal"/>
    <w:rsid w:val="00065B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sanssmall">
    <w:name w:val="sanssmall"/>
    <w:basedOn w:val="Normal"/>
    <w:rsid w:val="00065BE0"/>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uiPriority w:val="99"/>
    <w:semiHidden/>
    <w:unhideWhenUsed/>
    <w:rsid w:val="00F70534"/>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F70534"/>
    <w:rPr>
      <w:b/>
      <w:bCs/>
    </w:rPr>
  </w:style>
</w:styles>
</file>

<file path=word/webSettings.xml><?xml version="1.0" encoding="utf-8"?>
<w:webSettings xmlns:r="http://schemas.openxmlformats.org/officeDocument/2006/relationships" xmlns:w="http://schemas.openxmlformats.org/wordprocessingml/2006/main">
  <w:divs>
    <w:div w:id="725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Drugs/DevelopmentApprovalProcess/FormsSubmissionRequirements/ElectronicSubmissions/UCM163179.pdf" TargetMode="External"/><Relationship Id="rId13" Type="http://schemas.openxmlformats.org/officeDocument/2006/relationships/hyperlink" Target="http://www.ich.org/fileadmin/Public_Web_Site/ICH_Products/Guidelines/Efficacy/E6_R1/Step4/E6_R1__Guideline.pdf" TargetMode="External"/><Relationship Id="rId3" Type="http://schemas.openxmlformats.org/officeDocument/2006/relationships/settings" Target="settings.xml"/><Relationship Id="rId7" Type="http://schemas.openxmlformats.org/officeDocument/2006/relationships/hyperlink" Target="http://shop.bsigroup.com/en/ProductDetail/?pid=000000000030186227-" TargetMode="External"/><Relationship Id="rId12" Type="http://schemas.openxmlformats.org/officeDocument/2006/relationships/hyperlink" Target="http://ec.europa.eu/health/files/eudralex/vol-4/pdfs-en/cap2en200408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fr.gpoaccess.gov/cgi/t/text/text-idx?c=ecfr&amp;sid=7dd85d103109b118e10d506176b104fb&amp;rgn=div8&amp;view=text&amp;node=21:4.0.1.1.11.2.1.2&amp;idno=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shs.org/p/digital-imaging-guidelines-for-state-agencies/11329" TargetMode="External"/><Relationship Id="rId4" Type="http://schemas.openxmlformats.org/officeDocument/2006/relationships/webSettings" Target="webSettings.xml"/><Relationship Id="rId9" Type="http://schemas.openxmlformats.org/officeDocument/2006/relationships/hyperlink" Target="http://www.fda.gov/OHRMS/DOCKETS/98fr/04d-0440-gdl0002.pdf-" TargetMode="External"/><Relationship Id="rId14" Type="http://schemas.openxmlformats.org/officeDocument/2006/relationships/hyperlink" Target="http://ecfr.gpoaccess.gov/cgi/t/text/text-idx?c=ecfr&amp;sid=7dd85d103109b118e10d506176b104fb&amp;rgn=div8&amp;view=text&amp;node=21:4.0.1.1.11.2.1.4&amp;idno=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lmulcah2</dc:creator>
  <cp:lastModifiedBy>Jennifer Choi</cp:lastModifiedBy>
  <cp:revision>36</cp:revision>
  <dcterms:created xsi:type="dcterms:W3CDTF">2011-07-30T13:21:00Z</dcterms:created>
  <dcterms:modified xsi:type="dcterms:W3CDTF">2011-07-30T15:02:00Z</dcterms:modified>
</cp:coreProperties>
</file>