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0086" w14:textId="77777777" w:rsidR="00703C55" w:rsidRDefault="00703C55" w:rsidP="00703C55">
      <w:pPr>
        <w:pStyle w:val="Heading2"/>
      </w:pPr>
      <w:r>
        <w:t xml:space="preserve">Location:  </w:t>
      </w:r>
    </w:p>
    <w:p w14:paraId="2DBFC1CA" w14:textId="77777777" w:rsidR="00703C55" w:rsidRDefault="00703C55" w:rsidP="00703C55">
      <w:r>
        <w:t>London, UK</w:t>
      </w:r>
    </w:p>
    <w:p w14:paraId="307A2332" w14:textId="77777777" w:rsidR="00703C55" w:rsidRDefault="00703C55" w:rsidP="00703C55">
      <w:pPr>
        <w:pStyle w:val="Heading2"/>
      </w:pPr>
      <w:r>
        <w:t xml:space="preserve">Dates:  </w:t>
      </w:r>
    </w:p>
    <w:p w14:paraId="58A51393" w14:textId="630971FD" w:rsidR="00703C55" w:rsidRDefault="00703C55" w:rsidP="00703C55">
      <w:r>
        <w:t>September 1</w:t>
      </w:r>
      <w:r>
        <w:t>9</w:t>
      </w:r>
      <w:r>
        <w:t xml:space="preserve"> &amp; </w:t>
      </w:r>
      <w:r>
        <w:t>20</w:t>
      </w:r>
      <w:r w:rsidRPr="003E045B">
        <w:rPr>
          <w:vertAlign w:val="superscript"/>
        </w:rPr>
        <w:t>th</w:t>
      </w:r>
      <w:r>
        <w:t>, 2018</w:t>
      </w:r>
    </w:p>
    <w:p w14:paraId="4FECC325" w14:textId="77777777" w:rsidR="00703C55" w:rsidRDefault="00703C55" w:rsidP="00703C55">
      <w:pPr>
        <w:pStyle w:val="Heading2"/>
      </w:pPr>
      <w:r>
        <w:t>Summarized by:</w:t>
      </w:r>
      <w:bookmarkStart w:id="0" w:name="_GoBack"/>
      <w:bookmarkEnd w:id="0"/>
    </w:p>
    <w:p w14:paraId="49074CFD" w14:textId="55920B8D" w:rsidR="00703C55" w:rsidRDefault="00703C55" w:rsidP="00703C55">
      <w:r>
        <w:t>Nate Root</w:t>
      </w:r>
    </w:p>
    <w:p w14:paraId="3C02407D" w14:textId="192AE8CF" w:rsidR="00703C55" w:rsidRDefault="00703C55" w:rsidP="00703C55">
      <w:pPr>
        <w:pStyle w:val="Heading1"/>
      </w:pPr>
      <w:r>
        <w:t xml:space="preserve">Overview for the EU Clinical Trials </w:t>
      </w:r>
      <w:r>
        <w:t>Disclosure &amp; Transparency</w:t>
      </w:r>
      <w:r>
        <w:t xml:space="preserve"> Conference</w:t>
      </w:r>
    </w:p>
    <w:p w14:paraId="5B57098A" w14:textId="77777777" w:rsidR="00703C55" w:rsidRDefault="00703C55" w:rsidP="00703C55">
      <w:pPr>
        <w:pStyle w:val="ListParagraph"/>
        <w:numPr>
          <w:ilvl w:val="0"/>
          <w:numId w:val="1"/>
        </w:numPr>
        <w:spacing w:before="0" w:after="200" w:line="276" w:lineRule="auto"/>
        <w:rPr>
          <w:rFonts w:ascii="Calibri" w:hAnsi="Calibri" w:cs="Arial"/>
          <w:color w:val="auto"/>
        </w:rPr>
      </w:pPr>
      <w:r>
        <w:rPr>
          <w:rFonts w:ascii="Calibri" w:hAnsi="Calibri" w:cs="Arial"/>
        </w:rPr>
        <w:t>New Policy 0070 draft guidance will be released in Oct 2018 (in accordance to the yearly amendment updates of the policy – may or may not see updates in 2019)</w:t>
      </w:r>
    </w:p>
    <w:p w14:paraId="3515DE82"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Will have updates on timelines, updated cover letter, new checklist for documents, and updates to the anonymization report </w:t>
      </w:r>
    </w:p>
    <w:p w14:paraId="2305DFDE"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Should continue to work on Policy 0070 submissions, but it was not stated if new guidelines will need to be implanted in current working submissions</w:t>
      </w:r>
    </w:p>
    <w:p w14:paraId="336A1BCB"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No Policy 0070 submission will be published in 2019, but they will continue to process (no sponsors will receive new requests)</w:t>
      </w:r>
    </w:p>
    <w:p w14:paraId="08B913EA"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 xml:space="preserve">There will be a Technical Anonymization Group (TAG) publishing a Q&amp;A on best practices </w:t>
      </w:r>
    </w:p>
    <w:p w14:paraId="3F3DB154"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 xml:space="preserve">EMA will not state if they will now accept HC submissions and would not comment on the push for transformation of data (quantitative anonymization vs. redaction), but will continue to accept redactions until further notice </w:t>
      </w:r>
    </w:p>
    <w:p w14:paraId="3CC8BBA2"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Health Canada did not state when final guidance for CSR submissions will be published, but still targeting implementation of the policy Jan 2019</w:t>
      </w:r>
    </w:p>
    <w:p w14:paraId="7BD300B4"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HC will accept EU Policy 0070 submissions, but may need to add sections that are included in the HC policy</w:t>
      </w:r>
    </w:p>
    <w:p w14:paraId="68CEE4D6"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There will be the IFDR (electronic submission platform) for submitting HC CSRs </w:t>
      </w:r>
    </w:p>
    <w:p w14:paraId="642DD1DD"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Review and consultation will be </w:t>
      </w:r>
      <w:proofErr w:type="gramStart"/>
      <w:r>
        <w:rPr>
          <w:rFonts w:ascii="Calibri" w:hAnsi="Calibri" w:cs="Arial"/>
        </w:rPr>
        <w:t>similar to</w:t>
      </w:r>
      <w:proofErr w:type="gramEnd"/>
      <w:r>
        <w:rPr>
          <w:rFonts w:ascii="Calibri" w:hAnsi="Calibri" w:cs="Arial"/>
        </w:rPr>
        <w:t xml:space="preserve"> Policy 0070 </w:t>
      </w:r>
    </w:p>
    <w:p w14:paraId="4CD8E93F"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Retrospective access to legacy data will be implemented at the same time as the new policy </w:t>
      </w:r>
    </w:p>
    <w:p w14:paraId="3878E72F"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 xml:space="preserve">Requests for past submissions will have guidance of the ability of the sponsor to process these requests </w:t>
      </w:r>
    </w:p>
    <w:p w14:paraId="1149D2FD"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HC will have the final decision on the information redacted, after consultation with Sponsor, similarly to EU</w:t>
      </w:r>
    </w:p>
    <w:p w14:paraId="582FF060"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CT.gov Metrics</w:t>
      </w:r>
    </w:p>
    <w:p w14:paraId="4225831E"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Currently receiving ~600 registrations per week and have seen an increase in results submissions by 40%</w:t>
      </w:r>
    </w:p>
    <w:p w14:paraId="3423F37C"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Some sponsors are submitting protocols at the time of registration </w:t>
      </w:r>
    </w:p>
    <w:p w14:paraId="6240B0DD"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21 Century cures act requires CT.gov to send a report to congress with the number of ACTs and how many results have been submitted to these </w:t>
      </w:r>
    </w:p>
    <w:p w14:paraId="66CDFFCD"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 xml:space="preserve">There is also a requirement for EAPs to be registered and linked </w:t>
      </w:r>
    </w:p>
    <w:p w14:paraId="07DB3C6F"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Common Rule</w:t>
      </w:r>
    </w:p>
    <w:p w14:paraId="00AA2374"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Requirement to post ICFs for studies with federal funding</w:t>
      </w:r>
    </w:p>
    <w:p w14:paraId="1A1EC44D"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CT.gov houses an option to post ICFs, as well as Regulations.gov</w:t>
      </w:r>
    </w:p>
    <w:p w14:paraId="295D896E"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 xml:space="preserve">MDR: </w:t>
      </w:r>
      <w:proofErr w:type="spellStart"/>
      <w:r>
        <w:rPr>
          <w:rFonts w:ascii="Calibri" w:hAnsi="Calibri" w:cs="Arial"/>
        </w:rPr>
        <w:t>Eudamed</w:t>
      </w:r>
      <w:proofErr w:type="spellEnd"/>
      <w:r>
        <w:rPr>
          <w:rFonts w:ascii="Calibri" w:hAnsi="Calibri" w:cs="Arial"/>
        </w:rPr>
        <w:t xml:space="preserve"> Expansion for Devices </w:t>
      </w:r>
    </w:p>
    <w:p w14:paraId="046DFC92"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All device studies will need a </w:t>
      </w:r>
      <w:proofErr w:type="spellStart"/>
      <w:r>
        <w:rPr>
          <w:rFonts w:ascii="Calibri" w:hAnsi="Calibri" w:cs="Arial"/>
        </w:rPr>
        <w:t>Eudram</w:t>
      </w:r>
      <w:proofErr w:type="spellEnd"/>
      <w:r>
        <w:rPr>
          <w:rFonts w:ascii="Calibri" w:hAnsi="Calibri" w:cs="Arial"/>
        </w:rPr>
        <w:t xml:space="preserve"> program in 2019 (although it has been operational since 2012)</w:t>
      </w:r>
    </w:p>
    <w:p w14:paraId="0A7F2055"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Devices are identified by the UDI#, while studies are identified by the SIN#</w:t>
      </w:r>
    </w:p>
    <w:p w14:paraId="4A0809F3"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Go live for new </w:t>
      </w:r>
      <w:proofErr w:type="spellStart"/>
      <w:r>
        <w:rPr>
          <w:rFonts w:ascii="Calibri" w:hAnsi="Calibri" w:cs="Arial"/>
        </w:rPr>
        <w:t>Eudamed</w:t>
      </w:r>
      <w:proofErr w:type="spellEnd"/>
      <w:r>
        <w:rPr>
          <w:rFonts w:ascii="Calibri" w:hAnsi="Calibri" w:cs="Arial"/>
        </w:rPr>
        <w:t xml:space="preserve"> ~ 26-Mar-2020</w:t>
      </w:r>
    </w:p>
    <w:p w14:paraId="31727FCA"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Transcelerate Initiatives:</w:t>
      </w:r>
    </w:p>
    <w:p w14:paraId="109D35B6"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lastRenderedPageBreak/>
        <w:t>Common Protocol Template</w:t>
      </w:r>
    </w:p>
    <w:p w14:paraId="7A224BF9"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Common CSR Template </w:t>
      </w:r>
    </w:p>
    <w:p w14:paraId="10C98CE4"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Improving Clinical Trial Registries – ROTF (Registry of the Future)</w:t>
      </w:r>
    </w:p>
    <w:p w14:paraId="1F2EBD01"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 xml:space="preserve">Not looking to create a new registry, but rather compile registry data into a new, more </w:t>
      </w:r>
      <w:proofErr w:type="gramStart"/>
      <w:r>
        <w:rPr>
          <w:rFonts w:ascii="Calibri" w:hAnsi="Calibri" w:cs="Arial"/>
        </w:rPr>
        <w:t>user friendly</w:t>
      </w:r>
      <w:proofErr w:type="gramEnd"/>
      <w:r>
        <w:rPr>
          <w:rFonts w:ascii="Calibri" w:hAnsi="Calibri" w:cs="Arial"/>
        </w:rPr>
        <w:t xml:space="preserve"> interface</w:t>
      </w:r>
    </w:p>
    <w:p w14:paraId="5F158F5A" w14:textId="77777777" w:rsidR="00703C55" w:rsidRDefault="00703C55" w:rsidP="00703C55">
      <w:pPr>
        <w:pStyle w:val="ListParagraph"/>
        <w:numPr>
          <w:ilvl w:val="2"/>
          <w:numId w:val="1"/>
        </w:numPr>
        <w:spacing w:before="0" w:after="200" w:line="276" w:lineRule="auto"/>
        <w:rPr>
          <w:rFonts w:ascii="Calibri" w:hAnsi="Calibri" w:cs="Arial"/>
        </w:rPr>
      </w:pPr>
      <w:r>
        <w:rPr>
          <w:rFonts w:ascii="Calibri" w:hAnsi="Calibri" w:cs="Arial"/>
        </w:rPr>
        <w:t xml:space="preserve">Public users can bookmark and compare studies, see distance to sites from their location, and other </w:t>
      </w:r>
      <w:proofErr w:type="gramStart"/>
      <w:r>
        <w:rPr>
          <w:rFonts w:ascii="Calibri" w:hAnsi="Calibri" w:cs="Arial"/>
        </w:rPr>
        <w:t>user friendly</w:t>
      </w:r>
      <w:proofErr w:type="gramEnd"/>
      <w:r>
        <w:rPr>
          <w:rFonts w:ascii="Calibri" w:hAnsi="Calibri" w:cs="Arial"/>
        </w:rPr>
        <w:t xml:space="preserve"> sources for potential patients and care givers to use</w:t>
      </w:r>
    </w:p>
    <w:p w14:paraId="59294E2E"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Common Registry Packet (coming in 2019)</w:t>
      </w:r>
    </w:p>
    <w:p w14:paraId="20A9166D"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Plain Language Summaries – EU CTR Requirement and Best Practices</w:t>
      </w:r>
    </w:p>
    <w:p w14:paraId="11CE13AA"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If not familiar, review Annex V of the EU Clinical Trial Regulation</w:t>
      </w:r>
    </w:p>
    <w:p w14:paraId="29D51FD9"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 xml:space="preserve">The title is the hardest part to translate into lay language </w:t>
      </w:r>
    </w:p>
    <w:p w14:paraId="70339F6C"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Bullets are better than paragraphs</w:t>
      </w:r>
    </w:p>
    <w:p w14:paraId="0777D90A"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Limit graphics (but are useful in moderation)</w:t>
      </w:r>
    </w:p>
    <w:p w14:paraId="1BCE1034"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Links to additional information (keep to a minimum)</w:t>
      </w:r>
    </w:p>
    <w:p w14:paraId="4B505DE0"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Flow charts are helpful</w:t>
      </w:r>
    </w:p>
    <w:p w14:paraId="652E430C"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Use multiple versions of stats (i.e., 1 out of 5 (20%)) one may be more applicable than the other depending on the reader</w:t>
      </w:r>
    </w:p>
    <w:p w14:paraId="3ACF1A0C"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Challenge in which outcome measures to list (only primary or primary and key secondary – how to avoid cherry picking)</w:t>
      </w:r>
    </w:p>
    <w:p w14:paraId="36270D69" w14:textId="77777777" w:rsidR="00703C55" w:rsidRDefault="00703C55" w:rsidP="00703C55">
      <w:pPr>
        <w:pStyle w:val="ListParagraph"/>
        <w:numPr>
          <w:ilvl w:val="0"/>
          <w:numId w:val="1"/>
        </w:numPr>
        <w:spacing w:before="0" w:after="200" w:line="276" w:lineRule="auto"/>
        <w:rPr>
          <w:rFonts w:ascii="Calibri" w:hAnsi="Calibri" w:cs="Arial"/>
        </w:rPr>
      </w:pPr>
      <w:r>
        <w:rPr>
          <w:rFonts w:ascii="Calibri" w:hAnsi="Calibri" w:cs="Arial"/>
        </w:rPr>
        <w:t xml:space="preserve"> Public Scrutiny</w:t>
      </w:r>
    </w:p>
    <w:p w14:paraId="133A40D3" w14:textId="77777777" w:rsidR="00703C55" w:rsidRDefault="00703C55" w:rsidP="00703C55">
      <w:pPr>
        <w:pStyle w:val="ListParagraph"/>
        <w:numPr>
          <w:ilvl w:val="1"/>
          <w:numId w:val="1"/>
        </w:numPr>
        <w:spacing w:before="0" w:after="200" w:line="276" w:lineRule="auto"/>
        <w:rPr>
          <w:rFonts w:ascii="Calibri" w:hAnsi="Calibri" w:cs="Arial"/>
        </w:rPr>
      </w:pPr>
      <w:r>
        <w:rPr>
          <w:rFonts w:ascii="Calibri" w:hAnsi="Calibri" w:cs="Arial"/>
        </w:rPr>
        <w:t>EU Trials Tracker is now live – Ben Goldacre believes sponsors should focus on disclosing results for all trials ever registered and spend less time and resources on Data Sharing</w:t>
      </w:r>
    </w:p>
    <w:p w14:paraId="1262A4E5" w14:textId="3CD5A3A9" w:rsidR="00703C55" w:rsidRDefault="00703C55" w:rsidP="00703C55">
      <w:r>
        <w:rPr>
          <w:rFonts w:ascii="Calibri" w:hAnsi="Calibri" w:cs="Arial"/>
        </w:rPr>
        <w:t xml:space="preserve">Issues with “inconsistent data” on EU CTR and sponsors unable to rectify without the help of EMA  </w:t>
      </w:r>
    </w:p>
    <w:p w14:paraId="30FA73D0" w14:textId="28D3FA94" w:rsidR="00DF15CB" w:rsidRPr="00DF15CB" w:rsidRDefault="00DF15CB" w:rsidP="00DF15CB"/>
    <w:sectPr w:rsidR="00DF15CB" w:rsidRPr="00DF15CB" w:rsidSect="00383427">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2972" w14:textId="77777777" w:rsidR="00E9696D" w:rsidRDefault="00E9696D" w:rsidP="00FD7D98">
      <w:pPr>
        <w:spacing w:before="0" w:after="0"/>
      </w:pPr>
      <w:r>
        <w:separator/>
      </w:r>
    </w:p>
  </w:endnote>
  <w:endnote w:type="continuationSeparator" w:id="0">
    <w:p w14:paraId="35AD0025" w14:textId="77777777" w:rsidR="00E9696D" w:rsidRDefault="00E9696D" w:rsidP="00FD7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E0EF" w14:textId="77777777" w:rsidR="00383427" w:rsidRDefault="00383427" w:rsidP="00DF1F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F4FFB" w14:textId="77777777" w:rsidR="00383427" w:rsidRDefault="00383427" w:rsidP="00383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4760" w14:textId="31D390B9" w:rsidR="00383427" w:rsidRPr="00027A4E" w:rsidRDefault="00383427" w:rsidP="00027A4E">
    <w:pPr>
      <w:pStyle w:val="Footer"/>
      <w:spacing w:before="240"/>
      <w:ind w:right="360"/>
      <w:jc w:val="center"/>
      <w:rPr>
        <w:b/>
        <w:color w:val="799C4A"/>
        <w:sz w:val="16"/>
      </w:rPr>
    </w:pPr>
    <w:r w:rsidRPr="00383427">
      <w:rPr>
        <w:b/>
        <w:color w:val="808080" w:themeColor="background1" w:themeShade="80"/>
        <w:sz w:val="16"/>
      </w:rPr>
      <w:t>DIA</w:t>
    </w:r>
    <w:r w:rsidRPr="00383427">
      <w:rPr>
        <w:color w:val="808080" w:themeColor="background1" w:themeShade="80"/>
        <w:sz w:val="16"/>
      </w:rPr>
      <w:t xml:space="preserve"> | Global Center: Washington, DC | Americas | Europe, Middle East &amp; Africa | China | Japan | India</w:t>
    </w:r>
    <w:r>
      <w:rPr>
        <w:color w:val="808080" w:themeColor="background1" w:themeShade="80"/>
        <w:sz w:val="16"/>
      </w:rPr>
      <w:t xml:space="preserve"> | </w:t>
    </w:r>
    <w:hyperlink r:id="rId1" w:history="1">
      <w:r w:rsidRPr="00F057E5">
        <w:rPr>
          <w:rStyle w:val="Hyperlink"/>
          <w:b/>
          <w:color w:val="6A1D31"/>
          <w:sz w:val="16"/>
          <w:u w:val="none"/>
        </w:rPr>
        <w:t>DIAglobal.org</w:t>
      </w:r>
    </w:hyperlink>
    <w:r w:rsidR="00027A4E">
      <w:rPr>
        <w:b/>
        <w:color w:val="799C4A"/>
        <w:sz w:val="16"/>
      </w:rPr>
      <w:tab/>
    </w:r>
    <w:r w:rsidR="00027A4E">
      <w:rPr>
        <w:b/>
        <w:color w:val="799C4A"/>
        <w:sz w:val="16"/>
      </w:rPr>
      <w:tab/>
    </w:r>
    <w:r w:rsidRPr="00027A4E">
      <w:rPr>
        <w:color w:val="808080" w:themeColor="background1" w:themeShade="80"/>
        <w:sz w:val="16"/>
      </w:rPr>
      <w:fldChar w:fldCharType="begin"/>
    </w:r>
    <w:r w:rsidRPr="00027A4E">
      <w:rPr>
        <w:color w:val="808080" w:themeColor="background1" w:themeShade="80"/>
        <w:sz w:val="16"/>
      </w:rPr>
      <w:instrText xml:space="preserve"> PAGE  \* MERGEFORMAT </w:instrText>
    </w:r>
    <w:r w:rsidRPr="00027A4E">
      <w:rPr>
        <w:color w:val="808080" w:themeColor="background1" w:themeShade="80"/>
        <w:sz w:val="16"/>
      </w:rPr>
      <w:fldChar w:fldCharType="separate"/>
    </w:r>
    <w:r w:rsidR="00F83156">
      <w:rPr>
        <w:noProof/>
        <w:color w:val="808080" w:themeColor="background1" w:themeShade="80"/>
        <w:sz w:val="16"/>
      </w:rPr>
      <w:t>1</w:t>
    </w:r>
    <w:r w:rsidRPr="00027A4E">
      <w:rPr>
        <w:color w:val="808080" w:themeColor="background1" w:themeShade="80"/>
        <w:sz w:val="16"/>
      </w:rPr>
      <w:fldChar w:fldCharType="end"/>
    </w:r>
    <w:r w:rsidRPr="00027A4E">
      <w:rPr>
        <w:color w:val="808080" w:themeColor="background1"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F28C" w14:textId="77777777" w:rsidR="00E9696D" w:rsidRDefault="00E9696D" w:rsidP="00FD7D98">
      <w:pPr>
        <w:spacing w:before="0" w:after="0"/>
      </w:pPr>
      <w:r>
        <w:separator/>
      </w:r>
    </w:p>
  </w:footnote>
  <w:footnote w:type="continuationSeparator" w:id="0">
    <w:p w14:paraId="63A2ED06" w14:textId="77777777" w:rsidR="00E9696D" w:rsidRDefault="00E9696D" w:rsidP="00FD7D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BD53" w14:textId="1F411C90" w:rsidR="001420EF" w:rsidRDefault="00703C55">
    <w:pPr>
      <w:pStyle w:val="Header"/>
    </w:pPr>
    <w:r>
      <w:rPr>
        <w:noProof/>
      </w:rPr>
      <mc:AlternateContent>
        <mc:Choice Requires="wps">
          <w:drawing>
            <wp:anchor distT="0" distB="0" distL="114300" distR="114300" simplePos="0" relativeHeight="251659264" behindDoc="0" locked="0" layoutInCell="1" allowOverlap="1" wp14:anchorId="6DB72A45" wp14:editId="361813C1">
              <wp:simplePos x="0" y="0"/>
              <wp:positionH relativeFrom="column">
                <wp:posOffset>176213</wp:posOffset>
              </wp:positionH>
              <wp:positionV relativeFrom="paragraph">
                <wp:posOffset>252413</wp:posOffset>
              </wp:positionV>
              <wp:extent cx="4548187"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48187"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EE9254" w14:textId="546D3674" w:rsidR="00027A4E" w:rsidRPr="00027A4E" w:rsidRDefault="00703C55" w:rsidP="00027A4E">
                          <w:pPr>
                            <w:spacing w:before="0" w:after="0"/>
                            <w:rPr>
                              <w:color w:val="FFFFFF" w:themeColor="background1"/>
                              <w:sz w:val="28"/>
                              <w:szCs w:val="28"/>
                            </w:rPr>
                          </w:pPr>
                          <w:r>
                            <w:rPr>
                              <w:color w:val="FFFFFF" w:themeColor="background1"/>
                              <w:sz w:val="28"/>
                              <w:szCs w:val="28"/>
                            </w:rPr>
                            <w:t xml:space="preserve">Clinical Trials </w:t>
                          </w:r>
                          <w:r>
                            <w:rPr>
                              <w:color w:val="FFFFFF" w:themeColor="background1"/>
                              <w:sz w:val="28"/>
                              <w:szCs w:val="28"/>
                            </w:rPr>
                            <w:t>Disclosure</w:t>
                          </w:r>
                          <w:r>
                            <w:rPr>
                              <w:color w:val="FFFFFF" w:themeColor="background1"/>
                              <w:sz w:val="28"/>
                              <w:szCs w:val="28"/>
                            </w:rPr>
                            <w:t xml:space="preserve"> </w:t>
                          </w:r>
                          <w:r>
                            <w:rPr>
                              <w:color w:val="FFFFFF" w:themeColor="background1"/>
                              <w:sz w:val="28"/>
                              <w:szCs w:val="28"/>
                            </w:rPr>
                            <w:t xml:space="preserve">&amp; Transparency </w:t>
                          </w:r>
                          <w:r>
                            <w:rPr>
                              <w:color w:val="FFFFFF" w:themeColor="background1"/>
                              <w:sz w:val="28"/>
                              <w:szCs w:val="28"/>
                            </w:rPr>
                            <w:t>Conference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B72A45" id="_x0000_t202" coordsize="21600,21600" o:spt="202" path="m,l,21600r21600,l21600,xe">
              <v:stroke joinstyle="miter"/>
              <v:path gradientshapeok="t" o:connecttype="rect"/>
            </v:shapetype>
            <v:shape id="Text Box 6" o:spid="_x0000_s1026" type="#_x0000_t202" style="position:absolute;margin-left:13.9pt;margin-top:19.9pt;width:358.1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" filled="f" stroked="f">
              <v:textbox>
                <w:txbxContent>
                  <w:p w14:paraId="1FEE9254" w14:textId="546D3674" w:rsidR="00027A4E" w:rsidRPr="00027A4E" w:rsidRDefault="00703C55" w:rsidP="00027A4E">
                    <w:pPr>
                      <w:spacing w:before="0" w:after="0"/>
                      <w:rPr>
                        <w:color w:val="FFFFFF" w:themeColor="background1"/>
                        <w:sz w:val="28"/>
                        <w:szCs w:val="28"/>
                      </w:rPr>
                    </w:pPr>
                    <w:r>
                      <w:rPr>
                        <w:color w:val="FFFFFF" w:themeColor="background1"/>
                        <w:sz w:val="28"/>
                        <w:szCs w:val="28"/>
                      </w:rPr>
                      <w:t xml:space="preserve">Clinical Trials </w:t>
                    </w:r>
                    <w:r>
                      <w:rPr>
                        <w:color w:val="FFFFFF" w:themeColor="background1"/>
                        <w:sz w:val="28"/>
                        <w:szCs w:val="28"/>
                      </w:rPr>
                      <w:t>Disclosure</w:t>
                    </w:r>
                    <w:r>
                      <w:rPr>
                        <w:color w:val="FFFFFF" w:themeColor="background1"/>
                        <w:sz w:val="28"/>
                        <w:szCs w:val="28"/>
                      </w:rPr>
                      <w:t xml:space="preserve"> </w:t>
                    </w:r>
                    <w:r>
                      <w:rPr>
                        <w:color w:val="FFFFFF" w:themeColor="background1"/>
                        <w:sz w:val="28"/>
                        <w:szCs w:val="28"/>
                      </w:rPr>
                      <w:t xml:space="preserve">&amp; Transparency </w:t>
                    </w:r>
                    <w:r>
                      <w:rPr>
                        <w:color w:val="FFFFFF" w:themeColor="background1"/>
                        <w:sz w:val="28"/>
                        <w:szCs w:val="28"/>
                      </w:rPr>
                      <w:t>Conference Overview</w:t>
                    </w:r>
                  </w:p>
                </w:txbxContent>
              </v:textbox>
            </v:shape>
          </w:pict>
        </mc:Fallback>
      </mc:AlternateContent>
    </w:r>
    <w:r w:rsidR="00F057E5">
      <w:rPr>
        <w:noProof/>
      </w:rPr>
      <w:drawing>
        <wp:inline distT="0" distB="0" distL="0" distR="0" wp14:anchorId="77FD5DC5" wp14:editId="257255EA">
          <wp:extent cx="6862445" cy="914400"/>
          <wp:effectExtent l="0" t="0" r="0" b="0"/>
          <wp:docPr id="8" name="Picture 8" descr="images/dia%20word%20doc%20elements-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dia%20word%20doc%20elements-communit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50C73"/>
    <w:multiLevelType w:val="hybridMultilevel"/>
    <w:tmpl w:val="796A7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N7c0tzQ1MDQ0MjJW0lEKTi0uzszPAykwrAUAArdTvywAAAA="/>
  </w:docVars>
  <w:rsids>
    <w:rsidRoot w:val="00FD7D98"/>
    <w:rsid w:val="00027A4E"/>
    <w:rsid w:val="001017CD"/>
    <w:rsid w:val="00113423"/>
    <w:rsid w:val="0014033D"/>
    <w:rsid w:val="001420EF"/>
    <w:rsid w:val="00383427"/>
    <w:rsid w:val="00505905"/>
    <w:rsid w:val="00535062"/>
    <w:rsid w:val="0058030F"/>
    <w:rsid w:val="005A4163"/>
    <w:rsid w:val="005A76CD"/>
    <w:rsid w:val="00703C55"/>
    <w:rsid w:val="008C72BF"/>
    <w:rsid w:val="009C7E1A"/>
    <w:rsid w:val="00C5300A"/>
    <w:rsid w:val="00D5123F"/>
    <w:rsid w:val="00DF15CB"/>
    <w:rsid w:val="00E9696D"/>
    <w:rsid w:val="00F057E5"/>
    <w:rsid w:val="00F83156"/>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1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427"/>
    <w:pPr>
      <w:spacing w:before="120" w:after="120"/>
    </w:pPr>
    <w:rPr>
      <w:rFonts w:ascii="Arial" w:hAnsi="Arial"/>
      <w:color w:val="4B4F54"/>
      <w:sz w:val="20"/>
    </w:rPr>
  </w:style>
  <w:style w:type="paragraph" w:styleId="Heading1">
    <w:name w:val="heading 1"/>
    <w:basedOn w:val="Normal"/>
    <w:next w:val="Normal"/>
    <w:link w:val="Heading1Char"/>
    <w:uiPriority w:val="9"/>
    <w:qFormat/>
    <w:rsid w:val="00F057E5"/>
    <w:pPr>
      <w:keepNext/>
      <w:keepLines/>
      <w:spacing w:before="240"/>
      <w:outlineLvl w:val="0"/>
    </w:pPr>
    <w:rPr>
      <w:rFonts w:eastAsiaTheme="majorEastAsia" w:cstheme="majorBidi"/>
      <w:color w:val="6A1D31"/>
      <w:sz w:val="32"/>
      <w:szCs w:val="32"/>
    </w:rPr>
  </w:style>
  <w:style w:type="paragraph" w:styleId="Heading2">
    <w:name w:val="heading 2"/>
    <w:basedOn w:val="Normal"/>
    <w:next w:val="Normal"/>
    <w:link w:val="Heading2Char"/>
    <w:autoRedefine/>
    <w:uiPriority w:val="9"/>
    <w:unhideWhenUsed/>
    <w:qFormat/>
    <w:rsid w:val="00F057E5"/>
    <w:pPr>
      <w:keepNext/>
      <w:keepLines/>
      <w:spacing w:before="40"/>
      <w:outlineLvl w:val="1"/>
    </w:pPr>
    <w:rPr>
      <w:rFonts w:eastAsiaTheme="majorEastAsia" w:cstheme="majorBidi"/>
      <w:color w:val="6A1D31"/>
      <w:sz w:val="26"/>
      <w:szCs w:val="26"/>
    </w:rPr>
  </w:style>
  <w:style w:type="paragraph" w:styleId="Heading3">
    <w:name w:val="heading 3"/>
    <w:basedOn w:val="Normal"/>
    <w:next w:val="Normal"/>
    <w:link w:val="Heading3Char"/>
    <w:autoRedefine/>
    <w:uiPriority w:val="9"/>
    <w:unhideWhenUsed/>
    <w:qFormat/>
    <w:rsid w:val="00F057E5"/>
    <w:pPr>
      <w:keepNext/>
      <w:keepLines/>
      <w:spacing w:before="40"/>
      <w:outlineLvl w:val="2"/>
    </w:pPr>
    <w:rPr>
      <w:rFonts w:eastAsiaTheme="majorEastAsia" w:cstheme="majorBidi"/>
      <w:color w:val="6A1D31"/>
    </w:rPr>
  </w:style>
  <w:style w:type="paragraph" w:styleId="Heading4">
    <w:name w:val="heading 4"/>
    <w:basedOn w:val="Normal"/>
    <w:next w:val="Normal"/>
    <w:link w:val="Heading4Char"/>
    <w:uiPriority w:val="9"/>
    <w:semiHidden/>
    <w:unhideWhenUsed/>
    <w:qFormat/>
    <w:rsid w:val="00F057E5"/>
    <w:pPr>
      <w:keepNext/>
      <w:keepLines/>
      <w:spacing w:before="40"/>
      <w:outlineLvl w:val="3"/>
    </w:pPr>
    <w:rPr>
      <w:rFonts w:eastAsiaTheme="majorEastAsia" w:cstheme="majorBidi"/>
      <w:i/>
      <w:iCs/>
      <w:color w:val="6A1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98"/>
    <w:pPr>
      <w:tabs>
        <w:tab w:val="center" w:pos="4680"/>
        <w:tab w:val="right" w:pos="9360"/>
      </w:tabs>
    </w:pPr>
  </w:style>
  <w:style w:type="character" w:customStyle="1" w:styleId="HeaderChar">
    <w:name w:val="Header Char"/>
    <w:basedOn w:val="DefaultParagraphFont"/>
    <w:link w:val="Header"/>
    <w:uiPriority w:val="99"/>
    <w:rsid w:val="00FD7D98"/>
  </w:style>
  <w:style w:type="paragraph" w:styleId="Footer">
    <w:name w:val="footer"/>
    <w:basedOn w:val="Normal"/>
    <w:link w:val="FooterChar"/>
    <w:uiPriority w:val="99"/>
    <w:unhideWhenUsed/>
    <w:rsid w:val="00FD7D98"/>
    <w:pPr>
      <w:tabs>
        <w:tab w:val="center" w:pos="4680"/>
        <w:tab w:val="right" w:pos="9360"/>
      </w:tabs>
    </w:pPr>
  </w:style>
  <w:style w:type="character" w:customStyle="1" w:styleId="FooterChar">
    <w:name w:val="Footer Char"/>
    <w:basedOn w:val="DefaultParagraphFont"/>
    <w:link w:val="Footer"/>
    <w:uiPriority w:val="99"/>
    <w:rsid w:val="00FD7D98"/>
  </w:style>
  <w:style w:type="character" w:customStyle="1" w:styleId="Heading1Char">
    <w:name w:val="Heading 1 Char"/>
    <w:basedOn w:val="DefaultParagraphFont"/>
    <w:link w:val="Heading1"/>
    <w:uiPriority w:val="9"/>
    <w:rsid w:val="00F057E5"/>
    <w:rPr>
      <w:rFonts w:ascii="Arial" w:eastAsiaTheme="majorEastAsia" w:hAnsi="Arial" w:cstheme="majorBidi"/>
      <w:color w:val="6A1D31"/>
      <w:sz w:val="32"/>
      <w:szCs w:val="32"/>
    </w:rPr>
  </w:style>
  <w:style w:type="character" w:customStyle="1" w:styleId="Heading2Char">
    <w:name w:val="Heading 2 Char"/>
    <w:basedOn w:val="DefaultParagraphFont"/>
    <w:link w:val="Heading2"/>
    <w:uiPriority w:val="9"/>
    <w:rsid w:val="00F057E5"/>
    <w:rPr>
      <w:rFonts w:ascii="Arial" w:eastAsiaTheme="majorEastAsia" w:hAnsi="Arial" w:cstheme="majorBidi"/>
      <w:color w:val="6A1D31"/>
      <w:sz w:val="26"/>
      <w:szCs w:val="26"/>
    </w:rPr>
  </w:style>
  <w:style w:type="character" w:customStyle="1" w:styleId="Heading3Char">
    <w:name w:val="Heading 3 Char"/>
    <w:basedOn w:val="DefaultParagraphFont"/>
    <w:link w:val="Heading3"/>
    <w:uiPriority w:val="9"/>
    <w:rsid w:val="00F057E5"/>
    <w:rPr>
      <w:rFonts w:ascii="Arial" w:eastAsiaTheme="majorEastAsia" w:hAnsi="Arial" w:cstheme="majorBidi"/>
      <w:color w:val="6A1D31"/>
      <w:sz w:val="20"/>
    </w:rPr>
  </w:style>
  <w:style w:type="character" w:customStyle="1" w:styleId="Heading4Char">
    <w:name w:val="Heading 4 Char"/>
    <w:basedOn w:val="DefaultParagraphFont"/>
    <w:link w:val="Heading4"/>
    <w:uiPriority w:val="9"/>
    <w:semiHidden/>
    <w:rsid w:val="00F057E5"/>
    <w:rPr>
      <w:rFonts w:ascii="Arial" w:eastAsiaTheme="majorEastAsia" w:hAnsi="Arial" w:cstheme="majorBidi"/>
      <w:i/>
      <w:iCs/>
      <w:color w:val="6A1D31"/>
      <w:sz w:val="20"/>
    </w:rPr>
  </w:style>
  <w:style w:type="paragraph" w:styleId="Title">
    <w:name w:val="Title"/>
    <w:basedOn w:val="Normal"/>
    <w:next w:val="Normal"/>
    <w:link w:val="TitleChar"/>
    <w:uiPriority w:val="10"/>
    <w:qFormat/>
    <w:rsid w:val="00F057E5"/>
    <w:pPr>
      <w:contextualSpacing/>
    </w:pPr>
    <w:rPr>
      <w:rFonts w:eastAsiaTheme="majorEastAsia" w:cstheme="majorBidi"/>
      <w:color w:val="6A1D31"/>
      <w:spacing w:val="-10"/>
      <w:kern w:val="28"/>
      <w:sz w:val="56"/>
      <w:szCs w:val="56"/>
    </w:rPr>
  </w:style>
  <w:style w:type="character" w:customStyle="1" w:styleId="TitleChar">
    <w:name w:val="Title Char"/>
    <w:basedOn w:val="DefaultParagraphFont"/>
    <w:link w:val="Title"/>
    <w:uiPriority w:val="10"/>
    <w:rsid w:val="00F057E5"/>
    <w:rPr>
      <w:rFonts w:ascii="Arial" w:eastAsiaTheme="majorEastAsia" w:hAnsi="Arial" w:cstheme="majorBidi"/>
      <w:color w:val="6A1D31"/>
      <w:spacing w:val="-10"/>
      <w:kern w:val="28"/>
      <w:sz w:val="56"/>
      <w:szCs w:val="56"/>
    </w:rPr>
  </w:style>
  <w:style w:type="paragraph" w:styleId="Subtitle">
    <w:name w:val="Subtitle"/>
    <w:basedOn w:val="Normal"/>
    <w:next w:val="Normal"/>
    <w:link w:val="SubtitleChar"/>
    <w:autoRedefine/>
    <w:uiPriority w:val="11"/>
    <w:qFormat/>
    <w:rsid w:val="00101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17CD"/>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1017CD"/>
    <w:rPr>
      <w:rFonts w:ascii="Arial" w:hAnsi="Arial"/>
      <w:i/>
      <w:iCs/>
      <w:color w:val="404040" w:themeColor="text1" w:themeTint="BF"/>
    </w:rPr>
  </w:style>
  <w:style w:type="character" w:styleId="Emphasis">
    <w:name w:val="Emphasis"/>
    <w:basedOn w:val="DefaultParagraphFont"/>
    <w:uiPriority w:val="20"/>
    <w:qFormat/>
    <w:rsid w:val="001017CD"/>
    <w:rPr>
      <w:rFonts w:ascii="Arial" w:hAnsi="Arial"/>
      <w:i/>
      <w:iCs/>
    </w:rPr>
  </w:style>
  <w:style w:type="character" w:styleId="IntenseEmphasis">
    <w:name w:val="Intense Emphasis"/>
    <w:basedOn w:val="DefaultParagraphFont"/>
    <w:uiPriority w:val="21"/>
    <w:qFormat/>
    <w:rsid w:val="00F057E5"/>
    <w:rPr>
      <w:rFonts w:ascii="Arial" w:hAnsi="Arial"/>
      <w:i/>
      <w:iCs/>
      <w:color w:val="6A1D31"/>
    </w:rPr>
  </w:style>
  <w:style w:type="character" w:styleId="Strong">
    <w:name w:val="Strong"/>
    <w:basedOn w:val="DefaultParagraphFont"/>
    <w:uiPriority w:val="22"/>
    <w:qFormat/>
    <w:rsid w:val="001017CD"/>
    <w:rPr>
      <w:rFonts w:ascii="Arial" w:hAnsi="Arial"/>
      <w:b/>
      <w:bCs/>
    </w:rPr>
  </w:style>
  <w:style w:type="paragraph" w:styleId="Quote">
    <w:name w:val="Quote"/>
    <w:basedOn w:val="Normal"/>
    <w:next w:val="Normal"/>
    <w:link w:val="QuoteChar"/>
    <w:autoRedefine/>
    <w:uiPriority w:val="29"/>
    <w:qFormat/>
    <w:rsid w:val="0010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C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F057E5"/>
    <w:pPr>
      <w:pBdr>
        <w:top w:val="single" w:sz="4" w:space="10" w:color="6A1D31"/>
        <w:bottom w:val="single" w:sz="4" w:space="10" w:color="6A1D31"/>
      </w:pBdr>
      <w:spacing w:before="360" w:after="360"/>
      <w:ind w:left="864" w:right="864"/>
      <w:jc w:val="center"/>
    </w:pPr>
    <w:rPr>
      <w:i/>
      <w:iCs/>
      <w:color w:val="6A1D31"/>
    </w:rPr>
  </w:style>
  <w:style w:type="character" w:customStyle="1" w:styleId="IntenseQuoteChar">
    <w:name w:val="Intense Quote Char"/>
    <w:basedOn w:val="DefaultParagraphFont"/>
    <w:link w:val="IntenseQuote"/>
    <w:uiPriority w:val="30"/>
    <w:rsid w:val="00F057E5"/>
    <w:rPr>
      <w:rFonts w:ascii="Arial" w:hAnsi="Arial"/>
      <w:i/>
      <w:iCs/>
      <w:color w:val="6A1D31"/>
      <w:sz w:val="20"/>
    </w:rPr>
  </w:style>
  <w:style w:type="character" w:styleId="SubtleReference">
    <w:name w:val="Subtle Reference"/>
    <w:basedOn w:val="DefaultParagraphFont"/>
    <w:uiPriority w:val="31"/>
    <w:qFormat/>
    <w:rsid w:val="001017CD"/>
    <w:rPr>
      <w:rFonts w:ascii="Arial" w:hAnsi="Arial"/>
      <w:smallCaps/>
      <w:color w:val="5A5A5A" w:themeColor="text1" w:themeTint="A5"/>
    </w:rPr>
  </w:style>
  <w:style w:type="character" w:styleId="IntenseReference">
    <w:name w:val="Intense Reference"/>
    <w:basedOn w:val="DefaultParagraphFont"/>
    <w:uiPriority w:val="32"/>
    <w:qFormat/>
    <w:rsid w:val="00F057E5"/>
    <w:rPr>
      <w:rFonts w:ascii="Arial" w:hAnsi="Arial"/>
      <w:b/>
      <w:bCs/>
      <w:smallCaps/>
      <w:color w:val="6A1D31"/>
      <w:spacing w:val="5"/>
    </w:rPr>
  </w:style>
  <w:style w:type="character" w:styleId="BookTitle">
    <w:name w:val="Book Title"/>
    <w:basedOn w:val="DefaultParagraphFont"/>
    <w:uiPriority w:val="33"/>
    <w:qFormat/>
    <w:rsid w:val="001017CD"/>
    <w:rPr>
      <w:rFonts w:ascii="Arial" w:hAnsi="Arial"/>
      <w:b/>
      <w:bCs/>
      <w:i/>
      <w:iCs/>
      <w:spacing w:val="5"/>
    </w:rPr>
  </w:style>
  <w:style w:type="paragraph" w:styleId="ListParagraph">
    <w:name w:val="List Paragraph"/>
    <w:basedOn w:val="Normal"/>
    <w:uiPriority w:val="34"/>
    <w:qFormat/>
    <w:rsid w:val="001017CD"/>
    <w:pPr>
      <w:ind w:left="720"/>
      <w:contextualSpacing/>
    </w:pPr>
  </w:style>
  <w:style w:type="character" w:styleId="Hyperlink">
    <w:name w:val="Hyperlink"/>
    <w:basedOn w:val="DefaultParagraphFont"/>
    <w:uiPriority w:val="99"/>
    <w:unhideWhenUsed/>
    <w:qFormat/>
    <w:rsid w:val="009C7E1A"/>
    <w:rPr>
      <w:rFonts w:ascii="Arial" w:hAnsi="Arial"/>
      <w:color w:val="0563C1" w:themeColor="hyperlink"/>
      <w:u w:val="single"/>
    </w:rPr>
  </w:style>
  <w:style w:type="character" w:styleId="PageNumber">
    <w:name w:val="page number"/>
    <w:basedOn w:val="DefaultParagraphFont"/>
    <w:uiPriority w:val="99"/>
    <w:semiHidden/>
    <w:unhideWhenUsed/>
    <w:rsid w:val="0038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7305">
      <w:bodyDiv w:val="1"/>
      <w:marLeft w:val="0"/>
      <w:marRight w:val="0"/>
      <w:marTop w:val="0"/>
      <w:marBottom w:val="0"/>
      <w:divBdr>
        <w:top w:val="none" w:sz="0" w:space="0" w:color="auto"/>
        <w:left w:val="none" w:sz="0" w:space="0" w:color="auto"/>
        <w:bottom w:val="none" w:sz="0" w:space="0" w:color="auto"/>
        <w:right w:val="none" w:sz="0" w:space="0" w:color="auto"/>
      </w:divBdr>
    </w:div>
    <w:div w:id="137553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ia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d9d0f46b-f6a6-4db7-a277-b2edc3298236">28</Year>
    <Doc_x0020_Status xmlns="d9d0f46b-f6a6-4db7-a277-b2edc3298236">3</Doc_x0020_Status>
    <Retention_x0020_Schedule xmlns="d9d0f46b-f6a6-4db7-a277-b2edc3298236">10</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ct:contentTypeSchema xmlns:ct="http://schemas.microsoft.com/office/2006/metadata/contentType" xmlns:ma="http://schemas.microsoft.com/office/2006/metadata/properties/metaAttributes" ct:_="" ma:_="" ma:contentTypeName="DIA Document" ma:contentTypeID="0x0101007EDFF2051E4E304A84E61DD9B9CEA93D002298FAF1B3CDDA4D892B47E2DBEFE2D9" ma:contentTypeVersion="3" ma:contentTypeDescription="Create a new document." ma:contentTypeScope="" ma:versionID="4dca7694885e06b15a968b6331fbf95b">
  <xsd:schema xmlns:xsd="http://www.w3.org/2001/XMLSchema" xmlns:p="http://schemas.microsoft.com/office/2006/metadata/properties" xmlns:ns2="d9d0f46b-f6a6-4db7-a277-b2edc3298236" targetNamespace="http://schemas.microsoft.com/office/2006/metadata/properties" ma:root="true" ma:fieldsID="5c3fe42d6d1fb4970bcb9482213d756f"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966961-327F-4BBD-B2E6-574BC76BA3BB}">
  <ds:schemaRefs>
    <ds:schemaRef ds:uri="http://schemas.microsoft.com/sharepoint/v3/contenttype/forms"/>
  </ds:schemaRefs>
</ds:datastoreItem>
</file>

<file path=customXml/itemProps2.xml><?xml version="1.0" encoding="utf-8"?>
<ds:datastoreItem xmlns:ds="http://schemas.openxmlformats.org/officeDocument/2006/customXml" ds:itemID="{F4E3EDAB-973F-4EFC-B4BA-9A50BCFA3672}">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A740D6F7-68A9-49E0-8A57-BB667647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Lane</cp:lastModifiedBy>
  <cp:revision>3</cp:revision>
  <cp:lastPrinted>2017-09-07T15:54:00Z</cp:lastPrinted>
  <dcterms:created xsi:type="dcterms:W3CDTF">2017-09-12T01:10:00Z</dcterms:created>
  <dcterms:modified xsi:type="dcterms:W3CDTF">2018-10-09T17:01:00Z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0x0101007EDFF2051E4E304A84E61DD9B9CEA93D002298FAF1B3CDDA4D892B47E2DBEFE2D9</vt:lpwstr>
  </property>
</Properties>
</file>